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7"/>
        <w:spacing w:line="540" w:lineRule="exact"/>
        <w:ind w:firstLine="0" w:firstLineChars="0"/>
        <w:jc w:val="left"/>
        <w:rPr>
          <w:rFonts w:eastAsia="仿宋_GB2312" w:cs="黑体"/>
          <w:bCs/>
          <w:sz w:val="30"/>
          <w:szCs w:val="30"/>
        </w:rPr>
      </w:pPr>
      <w:bookmarkStart w:id="0" w:name="_Hlk162526704"/>
      <w:bookmarkStart w:id="1039" w:name="_GoBack"/>
      <w:bookmarkEnd w:id="1039"/>
      <w:r>
        <w:rPr>
          <w:rFonts w:hint="eastAsia" w:eastAsia="仿宋_GB2312" w:cs="黑体"/>
          <w:bCs/>
          <w:sz w:val="30"/>
          <w:szCs w:val="30"/>
        </w:rPr>
        <w:t>附件1</w:t>
      </w:r>
    </w:p>
    <w:bookmarkEnd w:id="0"/>
    <w:p>
      <w:pPr>
        <w:ind w:firstLine="602"/>
        <w:rPr>
          <w:rFonts w:ascii="仿宋_GB2312" w:hAnsi="华文中宋" w:eastAsia="仿宋_GB2312"/>
          <w:b/>
          <w:sz w:val="30"/>
          <w:szCs w:val="30"/>
        </w:rPr>
      </w:pPr>
    </w:p>
    <w:p>
      <w:pPr>
        <w:snapToGrid w:val="0"/>
        <w:spacing w:line="560" w:lineRule="exact"/>
        <w:jc w:val="center"/>
        <w:rPr>
          <w:rFonts w:ascii="黑体" w:hAnsi="黑体" w:eastAsia="黑体"/>
          <w:b/>
          <w:bCs/>
          <w:sz w:val="44"/>
          <w:szCs w:val="44"/>
        </w:rPr>
      </w:pPr>
      <w:r>
        <w:rPr>
          <w:rFonts w:hint="eastAsia" w:ascii="黑体" w:hAnsi="黑体" w:eastAsia="黑体"/>
          <w:b/>
          <w:bCs/>
          <w:sz w:val="44"/>
          <w:szCs w:val="44"/>
        </w:rPr>
        <w:t>上海证券交易所科创板股票上市规则</w:t>
      </w:r>
    </w:p>
    <w:p>
      <w:pPr>
        <w:snapToGrid w:val="0"/>
        <w:spacing w:line="560" w:lineRule="exact"/>
        <w:ind w:firstLine="560"/>
        <w:jc w:val="center"/>
        <w:rPr>
          <w:rFonts w:ascii="仿宋_GB2312" w:hAnsi="宋体" w:eastAsia="仿宋_GB2312"/>
          <w:bCs/>
          <w:sz w:val="28"/>
          <w:szCs w:val="28"/>
        </w:rPr>
      </w:pPr>
    </w:p>
    <w:p>
      <w:pPr>
        <w:snapToGrid w:val="0"/>
        <w:spacing w:line="560" w:lineRule="exact"/>
        <w:rPr>
          <w:rFonts w:ascii="仿宋_GB2312" w:eastAsia="仿宋_GB2312"/>
          <w:sz w:val="28"/>
          <w:szCs w:val="28"/>
        </w:rPr>
      </w:pPr>
      <w:r>
        <w:rPr>
          <w:rFonts w:hint="eastAsia" w:ascii="仿宋_GB2312" w:hAnsi="宋体" w:eastAsia="仿宋_GB2312"/>
          <w:bCs/>
          <w:sz w:val="28"/>
          <w:szCs w:val="28"/>
        </w:rPr>
        <w:t>（</w:t>
      </w:r>
      <w:r>
        <w:rPr>
          <w:rFonts w:hint="eastAsia" w:ascii="仿宋_GB2312" w:eastAsia="仿宋_GB2312"/>
          <w:sz w:val="28"/>
          <w:szCs w:val="28"/>
        </w:rPr>
        <w:t xml:space="preserve">2019年3月实施  2019年4月第一次修订 </w:t>
      </w:r>
      <w:r>
        <w:rPr>
          <w:rFonts w:ascii="仿宋_GB2312" w:eastAsia="仿宋_GB2312"/>
          <w:sz w:val="28"/>
          <w:szCs w:val="28"/>
        </w:rPr>
        <w:t xml:space="preserve"> </w:t>
      </w:r>
      <w:r>
        <w:rPr>
          <w:rFonts w:hint="eastAsia" w:ascii="仿宋_GB2312" w:eastAsia="仿宋_GB2312"/>
          <w:sz w:val="28"/>
          <w:szCs w:val="28"/>
        </w:rPr>
        <w:t>20</w:t>
      </w:r>
      <w:r>
        <w:rPr>
          <w:rFonts w:ascii="仿宋_GB2312" w:eastAsia="仿宋_GB2312"/>
          <w:sz w:val="28"/>
          <w:szCs w:val="28"/>
        </w:rPr>
        <w:t>20</w:t>
      </w:r>
      <w:r>
        <w:rPr>
          <w:rFonts w:hint="eastAsia" w:ascii="仿宋_GB2312" w:eastAsia="仿宋_GB2312"/>
          <w:sz w:val="28"/>
          <w:szCs w:val="28"/>
        </w:rPr>
        <w:t>年</w:t>
      </w:r>
      <w:r>
        <w:rPr>
          <w:rFonts w:ascii="仿宋_GB2312" w:eastAsia="仿宋_GB2312"/>
          <w:sz w:val="28"/>
          <w:szCs w:val="28"/>
        </w:rPr>
        <w:t>12</w:t>
      </w:r>
      <w:r>
        <w:rPr>
          <w:rFonts w:hint="eastAsia" w:ascii="仿宋_GB2312" w:eastAsia="仿宋_GB2312"/>
          <w:sz w:val="28"/>
          <w:szCs w:val="28"/>
        </w:rPr>
        <w:t>月第二次修订  2023年</w:t>
      </w:r>
      <w:r>
        <w:rPr>
          <w:rFonts w:hint="eastAsia" w:ascii="仿宋_GB2312" w:hAnsi="宋体" w:eastAsia="仿宋_GB2312"/>
          <w:bCs/>
          <w:sz w:val="28"/>
          <w:szCs w:val="28"/>
        </w:rPr>
        <w:t>8</w:t>
      </w:r>
      <w:r>
        <w:rPr>
          <w:rFonts w:hint="eastAsia" w:ascii="仿宋_GB2312" w:eastAsia="仿宋_GB2312"/>
          <w:sz w:val="28"/>
          <w:szCs w:val="28"/>
        </w:rPr>
        <w:t>月第三次修订</w:t>
      </w:r>
      <w:r>
        <w:rPr>
          <w:rFonts w:hint="eastAsia" w:ascii="仿宋_GB2312" w:hAnsi="宋体" w:eastAsia="仿宋_GB2312"/>
          <w:bCs/>
          <w:sz w:val="28"/>
          <w:szCs w:val="28"/>
        </w:rPr>
        <w:t xml:space="preserve">  2024年</w:t>
      </w:r>
      <w:r>
        <w:rPr>
          <w:rFonts w:ascii="仿宋_GB2312" w:hAnsi="宋体" w:eastAsia="仿宋_GB2312"/>
          <w:bCs/>
          <w:sz w:val="28"/>
          <w:szCs w:val="28"/>
        </w:rPr>
        <w:t>4</w:t>
      </w:r>
      <w:r>
        <w:rPr>
          <w:rFonts w:hint="eastAsia" w:ascii="仿宋_GB2312" w:hAnsi="宋体" w:eastAsia="仿宋_GB2312"/>
          <w:bCs/>
          <w:sz w:val="28"/>
          <w:szCs w:val="28"/>
        </w:rPr>
        <w:t>月第四次修订</w:t>
      </w:r>
      <w:r>
        <w:rPr>
          <w:rFonts w:hint="eastAsia" w:ascii="仿宋_GB2312" w:eastAsia="仿宋_GB2312"/>
          <w:sz w:val="28"/>
          <w:szCs w:val="28"/>
        </w:rPr>
        <w:t>）</w:t>
      </w:r>
    </w:p>
    <w:p>
      <w:pPr>
        <w:snapToGrid w:val="0"/>
        <w:spacing w:line="560" w:lineRule="exact"/>
        <w:ind w:firstLine="720"/>
        <w:rPr>
          <w:rFonts w:ascii="华文中宋" w:hAnsi="华文中宋" w:eastAsia="华文中宋"/>
          <w:sz w:val="36"/>
          <w:szCs w:val="36"/>
        </w:rPr>
      </w:pPr>
    </w:p>
    <w:p>
      <w:pPr>
        <w:snapToGrid w:val="0"/>
        <w:spacing w:line="560" w:lineRule="exact"/>
        <w:ind w:firstLine="562"/>
        <w:jc w:val="center"/>
        <w:rPr>
          <w:rFonts w:ascii="黑体" w:hAnsi="黑体" w:eastAsia="黑体"/>
          <w:b/>
          <w:sz w:val="28"/>
          <w:szCs w:val="28"/>
        </w:rPr>
      </w:pPr>
      <w:r>
        <w:rPr>
          <w:rFonts w:hint="eastAsia" w:ascii="黑体" w:hAnsi="黑体" w:eastAsia="黑体"/>
          <w:b/>
          <w:sz w:val="28"/>
          <w:szCs w:val="28"/>
        </w:rPr>
        <w:t>目    录</w:t>
      </w:r>
    </w:p>
    <w:p>
      <w:pPr>
        <w:pStyle w:val="15"/>
        <w:tabs>
          <w:tab w:val="right" w:leader="dot" w:pos="8312"/>
          <w:tab w:val="clear" w:pos="420"/>
          <w:tab w:val="clear" w:pos="1134"/>
          <w:tab w:val="clear" w:pos="8380"/>
        </w:tabs>
        <w:snapToGrid w:val="0"/>
        <w:ind w:firstLine="643"/>
        <w:rPr>
          <w:sz w:val="24"/>
        </w:rPr>
      </w:pPr>
      <w:r>
        <w:rPr>
          <w:rFonts w:eastAsia="仿宋_GB2312"/>
          <w:sz w:val="24"/>
        </w:rPr>
        <w:fldChar w:fldCharType="begin"/>
      </w:r>
      <w:r>
        <w:rPr>
          <w:rFonts w:eastAsia="仿宋_GB2312"/>
          <w:sz w:val="24"/>
        </w:rPr>
        <w:instrText xml:space="preserve"> TOC \o "1-3" \h \z \u </w:instrText>
      </w:r>
      <w:r>
        <w:rPr>
          <w:rFonts w:eastAsia="仿宋_GB2312"/>
          <w:sz w:val="24"/>
        </w:rPr>
        <w:fldChar w:fldCharType="separate"/>
      </w:r>
      <w:r>
        <w:fldChar w:fldCharType="begin"/>
      </w:r>
      <w:r>
        <w:instrText xml:space="preserve"> HYPERLINK \l "_Toc28099" </w:instrText>
      </w:r>
      <w:r>
        <w:fldChar w:fldCharType="separate"/>
      </w:r>
      <w:r>
        <w:rPr>
          <w:sz w:val="24"/>
        </w:rPr>
        <w:t>第一章 总  则</w:t>
      </w:r>
      <w:r>
        <w:rPr>
          <w:sz w:val="24"/>
        </w:rPr>
        <w:tab/>
      </w:r>
      <w:r>
        <w:rPr>
          <w:sz w:val="24"/>
        </w:rPr>
        <w:fldChar w:fldCharType="begin"/>
      </w:r>
      <w:r>
        <w:rPr>
          <w:sz w:val="24"/>
        </w:rPr>
        <w:instrText xml:space="preserve"> PAGEREF _Toc28099 \h </w:instrText>
      </w:r>
      <w:r>
        <w:rPr>
          <w:sz w:val="24"/>
        </w:rPr>
        <w:fldChar w:fldCharType="separate"/>
      </w:r>
      <w:r>
        <w:rPr>
          <w:sz w:val="24"/>
        </w:rPr>
        <w:t>4</w:t>
      </w:r>
      <w:r>
        <w:rPr>
          <w:sz w:val="24"/>
        </w:rPr>
        <w:fldChar w:fldCharType="end"/>
      </w:r>
      <w:r>
        <w:rPr>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"_Toc3029" </w:instrText>
      </w:r>
      <w:r>
        <w:fldChar w:fldCharType="separate"/>
      </w:r>
      <w:r>
        <w:rPr>
          <w:sz w:val="24"/>
        </w:rPr>
        <w:t>第二章 股票上市与交易</w:t>
      </w:r>
      <w:r>
        <w:rPr>
          <w:sz w:val="24"/>
        </w:rPr>
        <w:tab/>
      </w:r>
      <w:r>
        <w:rPr>
          <w:sz w:val="24"/>
        </w:rPr>
        <w:fldChar w:fldCharType="begin"/>
      </w:r>
      <w:r>
        <w:rPr>
          <w:sz w:val="24"/>
        </w:rPr>
        <w:instrText xml:space="preserve"> PAGEREF _Toc3029 \h </w:instrText>
      </w:r>
      <w:r>
        <w:rPr>
          <w:sz w:val="24"/>
        </w:rPr>
        <w:fldChar w:fldCharType="separate"/>
      </w:r>
      <w:r>
        <w:rPr>
          <w:sz w:val="24"/>
        </w:rPr>
        <w:t>5</w:t>
      </w:r>
      <w:r>
        <w:rPr>
          <w:sz w:val="24"/>
        </w:rPr>
        <w:fldChar w:fldCharType="end"/>
      </w:r>
      <w:r>
        <w:rPr>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"_Toc5593" </w:instrText>
      </w:r>
      <w:r>
        <w:fldChar w:fldCharType="separate"/>
      </w:r>
      <w:r>
        <w:rPr>
          <w:rFonts w:eastAsia="仿宋_GB2312"/>
          <w:b w:val="0"/>
          <w:bCs/>
          <w:sz w:val="24"/>
        </w:rPr>
        <w:t>第一节 首次公开发行股票的上市</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_Toc5593 \h </w:instrText>
      </w:r>
      <w:r>
        <w:rPr>
          <w:rFonts w:eastAsia="仿宋_GB2312"/>
          <w:b w:val="0"/>
          <w:bCs/>
          <w:sz w:val="24"/>
        </w:rPr>
        <w:fldChar w:fldCharType="separate"/>
      </w:r>
      <w:r>
        <w:rPr>
          <w:rFonts w:eastAsia="仿宋_GB2312"/>
          <w:b w:val="0"/>
          <w:bCs/>
          <w:sz w:val="24"/>
        </w:rPr>
        <w:t>5</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"_Toc3728" </w:instrText>
      </w:r>
      <w:r>
        <w:fldChar w:fldCharType="separate"/>
      </w:r>
      <w:r>
        <w:rPr>
          <w:rFonts w:eastAsia="仿宋_GB2312"/>
          <w:b w:val="0"/>
          <w:bCs/>
          <w:sz w:val="24"/>
        </w:rPr>
        <w:t>第二节 上市公司股票发行上市</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_Toc3728 \h </w:instrText>
      </w:r>
      <w:r>
        <w:rPr>
          <w:rFonts w:eastAsia="仿宋_GB2312"/>
          <w:b w:val="0"/>
          <w:bCs/>
          <w:sz w:val="24"/>
        </w:rPr>
        <w:fldChar w:fldCharType="separate"/>
      </w:r>
      <w:r>
        <w:rPr>
          <w:rFonts w:eastAsia="仿宋_GB2312"/>
          <w:b w:val="0"/>
          <w:bCs/>
          <w:sz w:val="24"/>
        </w:rPr>
        <w:t>9</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"_Toc21974" </w:instrText>
      </w:r>
      <w:r>
        <w:fldChar w:fldCharType="separate"/>
      </w:r>
      <w:r>
        <w:rPr>
          <w:rFonts w:eastAsia="仿宋_GB2312"/>
          <w:b w:val="0"/>
          <w:bCs/>
          <w:sz w:val="24"/>
        </w:rPr>
        <w:t>第三节 股份解除限售</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_Toc21974 \h </w:instrText>
      </w:r>
      <w:r>
        <w:rPr>
          <w:rFonts w:eastAsia="仿宋_GB2312"/>
          <w:b w:val="0"/>
          <w:bCs/>
          <w:sz w:val="24"/>
        </w:rPr>
        <w:fldChar w:fldCharType="separate"/>
      </w:r>
      <w:r>
        <w:rPr>
          <w:rFonts w:eastAsia="仿宋_GB2312"/>
          <w:b w:val="0"/>
          <w:bCs/>
          <w:sz w:val="24"/>
        </w:rPr>
        <w:t>10</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"_Toc19123" </w:instrText>
      </w:r>
      <w:r>
        <w:fldChar w:fldCharType="separate"/>
      </w:r>
      <w:r>
        <w:rPr>
          <w:rFonts w:eastAsia="仿宋_GB2312"/>
          <w:b w:val="0"/>
          <w:bCs/>
          <w:sz w:val="24"/>
        </w:rPr>
        <w:t>第四节 股份减持</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_Toc19123 \h </w:instrText>
      </w:r>
      <w:r>
        <w:rPr>
          <w:rFonts w:eastAsia="仿宋_GB2312"/>
          <w:b w:val="0"/>
          <w:bCs/>
          <w:sz w:val="24"/>
        </w:rPr>
        <w:fldChar w:fldCharType="separate"/>
      </w:r>
      <w:r>
        <w:rPr>
          <w:rFonts w:eastAsia="仿宋_GB2312"/>
          <w:b w:val="0"/>
          <w:bCs/>
          <w:sz w:val="24"/>
        </w:rPr>
        <w:t>11</w:t>
      </w:r>
      <w:r>
        <w:rPr>
          <w:rFonts w:eastAsia="仿宋_GB2312"/>
          <w:b w:val="0"/>
          <w:bCs/>
          <w:sz w:val="24"/>
        </w:rPr>
        <w:fldChar w:fldCharType="end"/>
      </w:r>
      <w:r>
        <w:rPr>
          <w:rFonts w:eastAsia="仿宋_GB2312"/>
          <w:b w:val="0"/>
          <w:bCs/>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"_Toc12094" </w:instrText>
      </w:r>
      <w:r>
        <w:fldChar w:fldCharType="separate"/>
      </w:r>
      <w:r>
        <w:rPr>
          <w:sz w:val="24"/>
        </w:rPr>
        <w:t>第三章 持续督导</w:t>
      </w:r>
      <w:r>
        <w:rPr>
          <w:sz w:val="24"/>
        </w:rPr>
        <w:tab/>
      </w:r>
      <w:r>
        <w:rPr>
          <w:sz w:val="24"/>
        </w:rPr>
        <w:fldChar w:fldCharType="begin"/>
      </w:r>
      <w:r>
        <w:rPr>
          <w:sz w:val="24"/>
        </w:rPr>
        <w:instrText xml:space="preserve"> PAGEREF _Toc12094 \h </w:instrText>
      </w:r>
      <w:r>
        <w:rPr>
          <w:sz w:val="24"/>
        </w:rPr>
        <w:fldChar w:fldCharType="separate"/>
      </w:r>
      <w:r>
        <w:rPr>
          <w:sz w:val="24"/>
        </w:rPr>
        <w:t>13</w:t>
      </w:r>
      <w:r>
        <w:rPr>
          <w:sz w:val="24"/>
        </w:rPr>
        <w:fldChar w:fldCharType="end"/>
      </w:r>
      <w:r>
        <w:rPr>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"_Toc3749" </w:instrText>
      </w:r>
      <w:r>
        <w:fldChar w:fldCharType="separate"/>
      </w:r>
      <w:r>
        <w:rPr>
          <w:rFonts w:eastAsia="仿宋_GB2312"/>
          <w:b w:val="0"/>
          <w:bCs/>
          <w:sz w:val="24"/>
        </w:rPr>
        <w:t>第一节 一般规定</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_Toc3749 \h </w:instrText>
      </w:r>
      <w:r>
        <w:rPr>
          <w:rFonts w:eastAsia="仿宋_GB2312"/>
          <w:b w:val="0"/>
          <w:bCs/>
          <w:sz w:val="24"/>
        </w:rPr>
        <w:fldChar w:fldCharType="separate"/>
      </w:r>
      <w:r>
        <w:rPr>
          <w:rFonts w:eastAsia="仿宋_GB2312"/>
          <w:b w:val="0"/>
          <w:bCs/>
          <w:sz w:val="24"/>
        </w:rPr>
        <w:t>13</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"_Toc1546" </w:instrText>
      </w:r>
      <w:r>
        <w:fldChar w:fldCharType="separate"/>
      </w:r>
      <w:r>
        <w:rPr>
          <w:rFonts w:eastAsia="仿宋_GB2312"/>
          <w:b w:val="0"/>
          <w:bCs/>
          <w:sz w:val="24"/>
        </w:rPr>
        <w:t>第二节 持续督导职责的履行</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_Toc1546 \h </w:instrText>
      </w:r>
      <w:r>
        <w:rPr>
          <w:rFonts w:eastAsia="仿宋_GB2312"/>
          <w:b w:val="0"/>
          <w:bCs/>
          <w:sz w:val="24"/>
        </w:rPr>
        <w:fldChar w:fldCharType="separate"/>
      </w:r>
      <w:r>
        <w:rPr>
          <w:rFonts w:eastAsia="仿宋_GB2312"/>
          <w:b w:val="0"/>
          <w:bCs/>
          <w:sz w:val="24"/>
        </w:rPr>
        <w:t>16</w:t>
      </w:r>
      <w:r>
        <w:rPr>
          <w:rFonts w:eastAsia="仿宋_GB2312"/>
          <w:b w:val="0"/>
          <w:bCs/>
          <w:sz w:val="24"/>
        </w:rPr>
        <w:fldChar w:fldCharType="end"/>
      </w:r>
      <w:r>
        <w:rPr>
          <w:rFonts w:eastAsia="仿宋_GB2312"/>
          <w:b w:val="0"/>
          <w:bCs/>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"_Toc26877" </w:instrText>
      </w:r>
      <w:r>
        <w:fldChar w:fldCharType="separate"/>
      </w:r>
      <w:r>
        <w:rPr>
          <w:sz w:val="24"/>
        </w:rPr>
        <w:t>第四章 内部治理</w:t>
      </w:r>
      <w:r>
        <w:rPr>
          <w:sz w:val="24"/>
        </w:rPr>
        <w:tab/>
      </w:r>
      <w:r>
        <w:rPr>
          <w:sz w:val="24"/>
        </w:rPr>
        <w:fldChar w:fldCharType="begin"/>
      </w:r>
      <w:r>
        <w:rPr>
          <w:sz w:val="24"/>
        </w:rPr>
        <w:instrText xml:space="preserve"> PAGEREF _Toc26877 \h </w:instrText>
      </w:r>
      <w:r>
        <w:rPr>
          <w:sz w:val="24"/>
        </w:rPr>
        <w:fldChar w:fldCharType="separate"/>
      </w:r>
      <w:r>
        <w:rPr>
          <w:sz w:val="24"/>
        </w:rPr>
        <w:t>22</w:t>
      </w:r>
      <w:r>
        <w:rPr>
          <w:sz w:val="24"/>
        </w:rPr>
        <w:fldChar w:fldCharType="end"/>
      </w:r>
      <w:r>
        <w:rPr>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"_Toc1773" </w:instrText>
      </w:r>
      <w:r>
        <w:fldChar w:fldCharType="separate"/>
      </w:r>
      <w:r>
        <w:rPr>
          <w:rFonts w:eastAsia="仿宋_GB2312"/>
          <w:b w:val="0"/>
          <w:bCs/>
          <w:sz w:val="24"/>
        </w:rPr>
        <w:t>第一节 控股股东及实际控制人</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_Toc1773 \h </w:instrText>
      </w:r>
      <w:r>
        <w:rPr>
          <w:rFonts w:eastAsia="仿宋_GB2312"/>
          <w:b w:val="0"/>
          <w:bCs/>
          <w:sz w:val="24"/>
        </w:rPr>
        <w:fldChar w:fldCharType="separate"/>
      </w:r>
      <w:r>
        <w:rPr>
          <w:rFonts w:eastAsia="仿宋_GB2312"/>
          <w:b w:val="0"/>
          <w:bCs/>
          <w:sz w:val="24"/>
        </w:rPr>
        <w:t>22</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"_Toc12854" </w:instrText>
      </w:r>
      <w:r>
        <w:fldChar w:fldCharType="separate"/>
      </w:r>
      <w:r>
        <w:rPr>
          <w:rFonts w:eastAsia="仿宋_GB2312"/>
          <w:b w:val="0"/>
          <w:bCs/>
          <w:sz w:val="24"/>
        </w:rPr>
        <w:t>第二节 董事、监事和高级管理人员</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_Toc12854 \h </w:instrText>
      </w:r>
      <w:r>
        <w:rPr>
          <w:rFonts w:eastAsia="仿宋_GB2312"/>
          <w:b w:val="0"/>
          <w:bCs/>
          <w:sz w:val="24"/>
        </w:rPr>
        <w:fldChar w:fldCharType="separate"/>
      </w:r>
      <w:r>
        <w:rPr>
          <w:rFonts w:eastAsia="仿宋_GB2312"/>
          <w:b w:val="0"/>
          <w:bCs/>
          <w:sz w:val="24"/>
        </w:rPr>
        <w:t>24</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"_Toc21697" </w:instrText>
      </w:r>
      <w:r>
        <w:fldChar w:fldCharType="separate"/>
      </w:r>
      <w:r>
        <w:rPr>
          <w:rFonts w:eastAsia="仿宋_GB2312"/>
          <w:b w:val="0"/>
          <w:bCs/>
          <w:sz w:val="24"/>
        </w:rPr>
        <w:t>第三节 规范运行</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_Toc21697 \h </w:instrText>
      </w:r>
      <w:r>
        <w:rPr>
          <w:rFonts w:eastAsia="仿宋_GB2312"/>
          <w:b w:val="0"/>
          <w:bCs/>
          <w:sz w:val="24"/>
        </w:rPr>
        <w:fldChar w:fldCharType="separate"/>
      </w:r>
      <w:r>
        <w:rPr>
          <w:rFonts w:eastAsia="仿宋_GB2312"/>
          <w:b w:val="0"/>
          <w:bCs/>
          <w:sz w:val="24"/>
        </w:rPr>
        <w:t>30</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"_Toc9442" </w:instrText>
      </w:r>
      <w:r>
        <w:fldChar w:fldCharType="separate"/>
      </w:r>
      <w:r>
        <w:rPr>
          <w:rFonts w:eastAsia="仿宋_GB2312"/>
          <w:b w:val="0"/>
          <w:bCs/>
          <w:sz w:val="24"/>
        </w:rPr>
        <w:t>第四节 社会责任</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_Toc9442 \h </w:instrText>
      </w:r>
      <w:r>
        <w:rPr>
          <w:rFonts w:eastAsia="仿宋_GB2312"/>
          <w:b w:val="0"/>
          <w:bCs/>
          <w:sz w:val="24"/>
        </w:rPr>
        <w:fldChar w:fldCharType="separate"/>
      </w:r>
      <w:r>
        <w:rPr>
          <w:rFonts w:eastAsia="仿宋_GB2312"/>
          <w:b w:val="0"/>
          <w:bCs/>
          <w:sz w:val="24"/>
        </w:rPr>
        <w:t>35</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"_Toc24166" </w:instrText>
      </w:r>
      <w:r>
        <w:fldChar w:fldCharType="separate"/>
      </w:r>
      <w:r>
        <w:rPr>
          <w:rFonts w:eastAsia="仿宋_GB2312"/>
          <w:b w:val="0"/>
          <w:bCs/>
          <w:sz w:val="24"/>
        </w:rPr>
        <w:t>第五节 表决权差异安排</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_Toc24166 \h </w:instrText>
      </w:r>
      <w:r>
        <w:rPr>
          <w:rFonts w:eastAsia="仿宋_GB2312"/>
          <w:b w:val="0"/>
          <w:bCs/>
          <w:sz w:val="24"/>
        </w:rPr>
        <w:fldChar w:fldCharType="separate"/>
      </w:r>
      <w:r>
        <w:rPr>
          <w:rFonts w:eastAsia="仿宋_GB2312"/>
          <w:b w:val="0"/>
          <w:bCs/>
          <w:sz w:val="24"/>
        </w:rPr>
        <w:t>36</w:t>
      </w:r>
      <w:r>
        <w:rPr>
          <w:rFonts w:eastAsia="仿宋_GB2312"/>
          <w:b w:val="0"/>
          <w:bCs/>
          <w:sz w:val="24"/>
        </w:rPr>
        <w:fldChar w:fldCharType="end"/>
      </w:r>
      <w:r>
        <w:rPr>
          <w:rFonts w:eastAsia="仿宋_GB2312"/>
          <w:b w:val="0"/>
          <w:bCs/>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"_Toc144" </w:instrText>
      </w:r>
      <w:r>
        <w:fldChar w:fldCharType="separate"/>
      </w:r>
      <w:r>
        <w:rPr>
          <w:sz w:val="24"/>
        </w:rPr>
        <w:t>第五章 信息披露一般规定</w:t>
      </w:r>
      <w:r>
        <w:rPr>
          <w:sz w:val="24"/>
        </w:rPr>
        <w:tab/>
      </w:r>
      <w:r>
        <w:rPr>
          <w:sz w:val="24"/>
        </w:rPr>
        <w:fldChar w:fldCharType="begin"/>
      </w:r>
      <w:r>
        <w:rPr>
          <w:sz w:val="24"/>
        </w:rPr>
        <w:instrText xml:space="preserve"> PAGEREF _Toc144 \h </w:instrText>
      </w:r>
      <w:r>
        <w:rPr>
          <w:sz w:val="24"/>
        </w:rPr>
        <w:fldChar w:fldCharType="separate"/>
      </w:r>
      <w:r>
        <w:rPr>
          <w:sz w:val="24"/>
        </w:rPr>
        <w:t>41</w:t>
      </w:r>
      <w:r>
        <w:rPr>
          <w:sz w:val="24"/>
        </w:rPr>
        <w:fldChar w:fldCharType="end"/>
      </w:r>
      <w:r>
        <w:rPr>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"_Toc2207" </w:instrText>
      </w:r>
      <w:r>
        <w:fldChar w:fldCharType="separate"/>
      </w:r>
      <w:r>
        <w:rPr>
          <w:rFonts w:eastAsia="仿宋_GB2312"/>
          <w:b w:val="0"/>
          <w:bCs/>
          <w:sz w:val="24"/>
        </w:rPr>
        <w:t>第一节 信息披露基本原则</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_Toc2207 \h </w:instrText>
      </w:r>
      <w:r>
        <w:rPr>
          <w:rFonts w:eastAsia="仿宋_GB2312"/>
          <w:b w:val="0"/>
          <w:bCs/>
          <w:sz w:val="24"/>
        </w:rPr>
        <w:fldChar w:fldCharType="separate"/>
      </w:r>
      <w:r>
        <w:rPr>
          <w:rFonts w:eastAsia="仿宋_GB2312"/>
          <w:b w:val="0"/>
          <w:bCs/>
          <w:sz w:val="24"/>
        </w:rPr>
        <w:t>41</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"_Toc21695" </w:instrText>
      </w:r>
      <w:r>
        <w:fldChar w:fldCharType="separate"/>
      </w:r>
      <w:r>
        <w:rPr>
          <w:rFonts w:eastAsia="仿宋_GB2312"/>
          <w:b w:val="0"/>
          <w:bCs/>
          <w:sz w:val="24"/>
        </w:rPr>
        <w:t>第二节 信息披露一般要求</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_Toc21695 \h </w:instrText>
      </w:r>
      <w:r>
        <w:rPr>
          <w:rFonts w:eastAsia="仿宋_GB2312"/>
          <w:b w:val="0"/>
          <w:bCs/>
          <w:sz w:val="24"/>
        </w:rPr>
        <w:fldChar w:fldCharType="separate"/>
      </w:r>
      <w:r>
        <w:rPr>
          <w:rFonts w:eastAsia="仿宋_GB2312"/>
          <w:b w:val="0"/>
          <w:bCs/>
          <w:sz w:val="24"/>
        </w:rPr>
        <w:t>42</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"_Toc29603" </w:instrText>
      </w:r>
      <w:r>
        <w:fldChar w:fldCharType="separate"/>
      </w:r>
      <w:r>
        <w:rPr>
          <w:rFonts w:eastAsia="仿宋_GB2312"/>
          <w:b w:val="0"/>
          <w:bCs/>
          <w:sz w:val="24"/>
        </w:rPr>
        <w:t>第三节 信息披露监管方式</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_Toc29603 \h </w:instrText>
      </w:r>
      <w:r>
        <w:rPr>
          <w:rFonts w:eastAsia="仿宋_GB2312"/>
          <w:b w:val="0"/>
          <w:bCs/>
          <w:sz w:val="24"/>
        </w:rPr>
        <w:fldChar w:fldCharType="separate"/>
      </w:r>
      <w:r>
        <w:rPr>
          <w:rFonts w:eastAsia="仿宋_GB2312"/>
          <w:b w:val="0"/>
          <w:bCs/>
          <w:sz w:val="24"/>
        </w:rPr>
        <w:t>46</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"_Toc15513" </w:instrText>
      </w:r>
      <w:r>
        <w:fldChar w:fldCharType="separate"/>
      </w:r>
      <w:r>
        <w:rPr>
          <w:rFonts w:eastAsia="仿宋_GB2312"/>
          <w:b w:val="0"/>
          <w:bCs/>
          <w:sz w:val="24"/>
        </w:rPr>
        <w:t>第四节 信息披露管理制度</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_Toc15513 \h </w:instrText>
      </w:r>
      <w:r>
        <w:rPr>
          <w:rFonts w:eastAsia="仿宋_GB2312"/>
          <w:b w:val="0"/>
          <w:bCs/>
          <w:sz w:val="24"/>
        </w:rPr>
        <w:fldChar w:fldCharType="separate"/>
      </w:r>
      <w:r>
        <w:rPr>
          <w:rFonts w:eastAsia="仿宋_GB2312"/>
          <w:b w:val="0"/>
          <w:bCs/>
          <w:sz w:val="24"/>
        </w:rPr>
        <w:t>47</w:t>
      </w:r>
      <w:r>
        <w:rPr>
          <w:rFonts w:eastAsia="仿宋_GB2312"/>
          <w:b w:val="0"/>
          <w:bCs/>
          <w:sz w:val="24"/>
        </w:rPr>
        <w:fldChar w:fldCharType="end"/>
      </w:r>
      <w:r>
        <w:rPr>
          <w:rFonts w:eastAsia="仿宋_GB2312"/>
          <w:b w:val="0"/>
          <w:bCs/>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"_Toc8838" </w:instrText>
      </w:r>
      <w:r>
        <w:fldChar w:fldCharType="separate"/>
      </w:r>
      <w:r>
        <w:rPr>
          <w:sz w:val="24"/>
        </w:rPr>
        <w:t>第六章 定期报告</w:t>
      </w:r>
      <w:r>
        <w:rPr>
          <w:sz w:val="24"/>
        </w:rPr>
        <w:tab/>
      </w:r>
      <w:r>
        <w:rPr>
          <w:sz w:val="24"/>
        </w:rPr>
        <w:fldChar w:fldCharType="begin"/>
      </w:r>
      <w:r>
        <w:rPr>
          <w:sz w:val="24"/>
        </w:rPr>
        <w:instrText xml:space="preserve"> PAGEREF _Toc8838 \h </w:instrText>
      </w:r>
      <w:r>
        <w:rPr>
          <w:sz w:val="24"/>
        </w:rPr>
        <w:fldChar w:fldCharType="separate"/>
      </w:r>
      <w:r>
        <w:rPr>
          <w:sz w:val="24"/>
        </w:rPr>
        <w:t>48</w:t>
      </w:r>
      <w:r>
        <w:rPr>
          <w:sz w:val="24"/>
        </w:rPr>
        <w:fldChar w:fldCharType="end"/>
      </w:r>
      <w:r>
        <w:rPr>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"_Toc22852" </w:instrText>
      </w:r>
      <w:r>
        <w:fldChar w:fldCharType="separate"/>
      </w:r>
      <w:r>
        <w:rPr>
          <w:rFonts w:eastAsia="仿宋_GB2312"/>
          <w:b w:val="0"/>
          <w:bCs/>
          <w:sz w:val="24"/>
        </w:rPr>
        <w:t>第一节 定期报告编制和披露要求</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_Toc22852 \h </w:instrText>
      </w:r>
      <w:r>
        <w:rPr>
          <w:rFonts w:eastAsia="仿宋_GB2312"/>
          <w:b w:val="0"/>
          <w:bCs/>
          <w:sz w:val="24"/>
        </w:rPr>
        <w:fldChar w:fldCharType="separate"/>
      </w:r>
      <w:r>
        <w:rPr>
          <w:rFonts w:eastAsia="仿宋_GB2312"/>
          <w:b w:val="0"/>
          <w:bCs/>
          <w:sz w:val="24"/>
        </w:rPr>
        <w:t>48</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"_Toc15017" </w:instrText>
      </w:r>
      <w:r>
        <w:fldChar w:fldCharType="separate"/>
      </w:r>
      <w:r>
        <w:rPr>
          <w:rFonts w:eastAsia="仿宋_GB2312"/>
          <w:b w:val="0"/>
          <w:bCs/>
          <w:sz w:val="24"/>
        </w:rPr>
        <w:t>第二节 业绩预告和业绩快报</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_Toc15017 \h </w:instrText>
      </w:r>
      <w:r>
        <w:rPr>
          <w:rFonts w:eastAsia="仿宋_GB2312"/>
          <w:b w:val="0"/>
          <w:bCs/>
          <w:sz w:val="24"/>
        </w:rPr>
        <w:fldChar w:fldCharType="separate"/>
      </w:r>
      <w:r>
        <w:rPr>
          <w:rFonts w:eastAsia="仿宋_GB2312"/>
          <w:b w:val="0"/>
          <w:bCs/>
          <w:sz w:val="24"/>
        </w:rPr>
        <w:t>51</w:t>
      </w:r>
      <w:r>
        <w:rPr>
          <w:rFonts w:eastAsia="仿宋_GB2312"/>
          <w:b w:val="0"/>
          <w:bCs/>
          <w:sz w:val="24"/>
        </w:rPr>
        <w:fldChar w:fldCharType="end"/>
      </w:r>
      <w:r>
        <w:rPr>
          <w:rFonts w:eastAsia="仿宋_GB2312"/>
          <w:b w:val="0"/>
          <w:bCs/>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"_Toc2065" </w:instrText>
      </w:r>
      <w:r>
        <w:fldChar w:fldCharType="separate"/>
      </w:r>
      <w:r>
        <w:rPr>
          <w:sz w:val="24"/>
        </w:rPr>
        <w:t>第七章 应当披露的交易</w:t>
      </w:r>
      <w:r>
        <w:rPr>
          <w:sz w:val="24"/>
        </w:rPr>
        <w:tab/>
      </w:r>
      <w:r>
        <w:rPr>
          <w:sz w:val="24"/>
        </w:rPr>
        <w:fldChar w:fldCharType="begin"/>
      </w:r>
      <w:r>
        <w:rPr>
          <w:sz w:val="24"/>
        </w:rPr>
        <w:instrText xml:space="preserve"> PAGEREF _Toc2065 \h </w:instrText>
      </w:r>
      <w:r>
        <w:rPr>
          <w:sz w:val="24"/>
        </w:rPr>
        <w:fldChar w:fldCharType="separate"/>
      </w:r>
      <w:r>
        <w:rPr>
          <w:sz w:val="24"/>
        </w:rPr>
        <w:t>53</w:t>
      </w:r>
      <w:r>
        <w:rPr>
          <w:sz w:val="24"/>
        </w:rPr>
        <w:fldChar w:fldCharType="end"/>
      </w:r>
      <w:r>
        <w:rPr>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"_Toc965" </w:instrText>
      </w:r>
      <w:r>
        <w:fldChar w:fldCharType="separate"/>
      </w:r>
      <w:r>
        <w:rPr>
          <w:rFonts w:eastAsia="仿宋_GB2312"/>
          <w:b w:val="0"/>
          <w:bCs/>
          <w:sz w:val="24"/>
        </w:rPr>
        <w:t>第一节 重大交易</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_Toc965 \h </w:instrText>
      </w:r>
      <w:r>
        <w:rPr>
          <w:rFonts w:eastAsia="仿宋_GB2312"/>
          <w:b w:val="0"/>
          <w:bCs/>
          <w:sz w:val="24"/>
        </w:rPr>
        <w:fldChar w:fldCharType="separate"/>
      </w:r>
      <w:r>
        <w:rPr>
          <w:rFonts w:eastAsia="仿宋_GB2312"/>
          <w:b w:val="0"/>
          <w:bCs/>
          <w:sz w:val="24"/>
        </w:rPr>
        <w:t>53</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"_Toc31443" </w:instrText>
      </w:r>
      <w:r>
        <w:fldChar w:fldCharType="separate"/>
      </w:r>
      <w:r>
        <w:rPr>
          <w:rFonts w:eastAsia="仿宋_GB2312"/>
          <w:b w:val="0"/>
          <w:bCs/>
          <w:sz w:val="24"/>
        </w:rPr>
        <w:t>第二节 关联交易</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_Toc31443 \h </w:instrText>
      </w:r>
      <w:r>
        <w:rPr>
          <w:rFonts w:eastAsia="仿宋_GB2312"/>
          <w:b w:val="0"/>
          <w:bCs/>
          <w:sz w:val="24"/>
        </w:rPr>
        <w:fldChar w:fldCharType="separate"/>
      </w:r>
      <w:r>
        <w:rPr>
          <w:rFonts w:eastAsia="仿宋_GB2312"/>
          <w:b w:val="0"/>
          <w:bCs/>
          <w:sz w:val="24"/>
        </w:rPr>
        <w:t>60</w:t>
      </w:r>
      <w:r>
        <w:rPr>
          <w:rFonts w:eastAsia="仿宋_GB2312"/>
          <w:b w:val="0"/>
          <w:bCs/>
          <w:sz w:val="24"/>
        </w:rPr>
        <w:fldChar w:fldCharType="end"/>
      </w:r>
      <w:r>
        <w:rPr>
          <w:rFonts w:eastAsia="仿宋_GB2312"/>
          <w:b w:val="0"/>
          <w:bCs/>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"_Toc21852" </w:instrText>
      </w:r>
      <w:r>
        <w:fldChar w:fldCharType="separate"/>
      </w:r>
      <w:r>
        <w:rPr>
          <w:sz w:val="24"/>
        </w:rPr>
        <w:t>第八章 应当披露的行业信息和经营风险</w:t>
      </w:r>
      <w:r>
        <w:rPr>
          <w:sz w:val="24"/>
        </w:rPr>
        <w:tab/>
      </w:r>
      <w:r>
        <w:rPr>
          <w:sz w:val="24"/>
        </w:rPr>
        <w:fldChar w:fldCharType="begin"/>
      </w:r>
      <w:r>
        <w:rPr>
          <w:sz w:val="24"/>
        </w:rPr>
        <w:instrText xml:space="preserve"> PAGEREF _Toc21852 \h </w:instrText>
      </w:r>
      <w:r>
        <w:rPr>
          <w:sz w:val="24"/>
        </w:rPr>
        <w:fldChar w:fldCharType="separate"/>
      </w:r>
      <w:r>
        <w:rPr>
          <w:sz w:val="24"/>
        </w:rPr>
        <w:t>63</w:t>
      </w:r>
      <w:r>
        <w:rPr>
          <w:sz w:val="24"/>
        </w:rPr>
        <w:fldChar w:fldCharType="end"/>
      </w:r>
      <w:r>
        <w:rPr>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"_Toc19480" </w:instrText>
      </w:r>
      <w:r>
        <w:fldChar w:fldCharType="separate"/>
      </w:r>
      <w:r>
        <w:rPr>
          <w:rFonts w:eastAsia="仿宋_GB2312"/>
          <w:b w:val="0"/>
          <w:bCs/>
          <w:sz w:val="24"/>
        </w:rPr>
        <w:t>第一节 行业信息</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_Toc19480 \h </w:instrText>
      </w:r>
      <w:r>
        <w:rPr>
          <w:rFonts w:eastAsia="仿宋_GB2312"/>
          <w:b w:val="0"/>
          <w:bCs/>
          <w:sz w:val="24"/>
        </w:rPr>
        <w:fldChar w:fldCharType="separate"/>
      </w:r>
      <w:r>
        <w:rPr>
          <w:rFonts w:eastAsia="仿宋_GB2312"/>
          <w:b w:val="0"/>
          <w:bCs/>
          <w:sz w:val="24"/>
        </w:rPr>
        <w:t>63</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"_Toc17548" </w:instrText>
      </w:r>
      <w:r>
        <w:fldChar w:fldCharType="separate"/>
      </w:r>
      <w:r>
        <w:rPr>
          <w:rFonts w:eastAsia="仿宋_GB2312"/>
          <w:b w:val="0"/>
          <w:bCs/>
          <w:sz w:val="24"/>
        </w:rPr>
        <w:t>第二节 经营风险</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_Toc17548 \h </w:instrText>
      </w:r>
      <w:r>
        <w:rPr>
          <w:rFonts w:eastAsia="仿宋_GB2312"/>
          <w:b w:val="0"/>
          <w:bCs/>
          <w:sz w:val="24"/>
        </w:rPr>
        <w:fldChar w:fldCharType="separate"/>
      </w:r>
      <w:r>
        <w:rPr>
          <w:rFonts w:eastAsia="仿宋_GB2312"/>
          <w:b w:val="0"/>
          <w:bCs/>
          <w:sz w:val="24"/>
        </w:rPr>
        <w:t>65</w:t>
      </w:r>
      <w:r>
        <w:rPr>
          <w:rFonts w:eastAsia="仿宋_GB2312"/>
          <w:b w:val="0"/>
          <w:bCs/>
          <w:sz w:val="24"/>
        </w:rPr>
        <w:fldChar w:fldCharType="end"/>
      </w:r>
      <w:r>
        <w:rPr>
          <w:rFonts w:eastAsia="仿宋_GB2312"/>
          <w:b w:val="0"/>
          <w:bCs/>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"_Toc13864" </w:instrText>
      </w:r>
      <w:r>
        <w:fldChar w:fldCharType="separate"/>
      </w:r>
      <w:r>
        <w:rPr>
          <w:sz w:val="24"/>
        </w:rPr>
        <w:t>第九章 应当披露的其他重大事项</w:t>
      </w:r>
      <w:r>
        <w:rPr>
          <w:sz w:val="24"/>
        </w:rPr>
        <w:tab/>
      </w:r>
      <w:r>
        <w:rPr>
          <w:sz w:val="24"/>
        </w:rPr>
        <w:fldChar w:fldCharType="begin"/>
      </w:r>
      <w:r>
        <w:rPr>
          <w:sz w:val="24"/>
        </w:rPr>
        <w:instrText xml:space="preserve"> PAGEREF _Toc13864 \h </w:instrText>
      </w:r>
      <w:r>
        <w:rPr>
          <w:sz w:val="24"/>
        </w:rPr>
        <w:fldChar w:fldCharType="separate"/>
      </w:r>
      <w:r>
        <w:rPr>
          <w:sz w:val="24"/>
        </w:rPr>
        <w:t>69</w:t>
      </w:r>
      <w:r>
        <w:rPr>
          <w:sz w:val="24"/>
        </w:rPr>
        <w:fldChar w:fldCharType="end"/>
      </w:r>
      <w:r>
        <w:rPr>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"_Toc15767" </w:instrText>
      </w:r>
      <w:r>
        <w:fldChar w:fldCharType="separate"/>
      </w:r>
      <w:r>
        <w:rPr>
          <w:rFonts w:eastAsia="仿宋_GB2312"/>
          <w:b w:val="0"/>
          <w:bCs/>
          <w:sz w:val="24"/>
        </w:rPr>
        <w:t>第一节 异常波动和传闻澄清</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_Toc15767 \h </w:instrText>
      </w:r>
      <w:r>
        <w:rPr>
          <w:rFonts w:eastAsia="仿宋_GB2312"/>
          <w:b w:val="0"/>
          <w:bCs/>
          <w:sz w:val="24"/>
        </w:rPr>
        <w:fldChar w:fldCharType="separate"/>
      </w:r>
      <w:r>
        <w:rPr>
          <w:rFonts w:eastAsia="仿宋_GB2312"/>
          <w:b w:val="0"/>
          <w:bCs/>
          <w:sz w:val="24"/>
        </w:rPr>
        <w:t>69</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"_Toc2800" </w:instrText>
      </w:r>
      <w:r>
        <w:fldChar w:fldCharType="separate"/>
      </w:r>
      <w:r>
        <w:rPr>
          <w:rFonts w:eastAsia="仿宋_GB2312"/>
          <w:b w:val="0"/>
          <w:bCs/>
          <w:sz w:val="24"/>
        </w:rPr>
        <w:t>第二节 股份质押</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_Toc2800 \h </w:instrText>
      </w:r>
      <w:r>
        <w:rPr>
          <w:rFonts w:eastAsia="仿宋_GB2312"/>
          <w:b w:val="0"/>
          <w:bCs/>
          <w:sz w:val="24"/>
        </w:rPr>
        <w:fldChar w:fldCharType="separate"/>
      </w:r>
      <w:r>
        <w:rPr>
          <w:rFonts w:eastAsia="仿宋_GB2312"/>
          <w:b w:val="0"/>
          <w:bCs/>
          <w:sz w:val="24"/>
        </w:rPr>
        <w:t>71</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"_Toc20132" </w:instrText>
      </w:r>
      <w:r>
        <w:fldChar w:fldCharType="separate"/>
      </w:r>
      <w:r>
        <w:rPr>
          <w:rFonts w:eastAsia="仿宋_GB2312"/>
          <w:b w:val="0"/>
          <w:bCs/>
          <w:sz w:val="24"/>
        </w:rPr>
        <w:t>第三节 其他</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_Toc20132 \h </w:instrText>
      </w:r>
      <w:r>
        <w:rPr>
          <w:rFonts w:eastAsia="仿宋_GB2312"/>
          <w:b w:val="0"/>
          <w:bCs/>
          <w:sz w:val="24"/>
        </w:rPr>
        <w:fldChar w:fldCharType="separate"/>
      </w:r>
      <w:r>
        <w:rPr>
          <w:rFonts w:eastAsia="仿宋_GB2312"/>
          <w:b w:val="0"/>
          <w:bCs/>
          <w:sz w:val="24"/>
        </w:rPr>
        <w:t>72</w:t>
      </w:r>
      <w:r>
        <w:rPr>
          <w:rFonts w:eastAsia="仿宋_GB2312"/>
          <w:b w:val="0"/>
          <w:bCs/>
          <w:sz w:val="24"/>
        </w:rPr>
        <w:fldChar w:fldCharType="end"/>
      </w:r>
      <w:r>
        <w:rPr>
          <w:rFonts w:eastAsia="仿宋_GB2312"/>
          <w:b w:val="0"/>
          <w:bCs/>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"_Toc15423" </w:instrText>
      </w:r>
      <w:r>
        <w:fldChar w:fldCharType="separate"/>
      </w:r>
      <w:r>
        <w:rPr>
          <w:sz w:val="24"/>
        </w:rPr>
        <w:t>第十章 股权激励</w:t>
      </w:r>
      <w:r>
        <w:rPr>
          <w:sz w:val="24"/>
        </w:rPr>
        <w:tab/>
      </w:r>
      <w:r>
        <w:rPr>
          <w:sz w:val="24"/>
        </w:rPr>
        <w:fldChar w:fldCharType="begin"/>
      </w:r>
      <w:r>
        <w:rPr>
          <w:sz w:val="24"/>
        </w:rPr>
        <w:instrText xml:space="preserve"> PAGEREF _Toc15423 \h </w:instrText>
      </w:r>
      <w:r>
        <w:rPr>
          <w:sz w:val="24"/>
        </w:rPr>
        <w:fldChar w:fldCharType="separate"/>
      </w:r>
      <w:r>
        <w:rPr>
          <w:sz w:val="24"/>
        </w:rPr>
        <w:t>74</w:t>
      </w:r>
      <w:r>
        <w:rPr>
          <w:sz w:val="24"/>
        </w:rPr>
        <w:fldChar w:fldCharType="end"/>
      </w:r>
      <w:r>
        <w:rPr>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"_Toc21884" </w:instrText>
      </w:r>
      <w:r>
        <w:fldChar w:fldCharType="separate"/>
      </w:r>
      <w:r>
        <w:rPr>
          <w:sz w:val="24"/>
        </w:rPr>
        <w:t>第十一章 重大资产重组</w:t>
      </w:r>
      <w:r>
        <w:rPr>
          <w:sz w:val="24"/>
        </w:rPr>
        <w:tab/>
      </w:r>
      <w:r>
        <w:rPr>
          <w:sz w:val="24"/>
        </w:rPr>
        <w:fldChar w:fldCharType="begin"/>
      </w:r>
      <w:r>
        <w:rPr>
          <w:sz w:val="24"/>
        </w:rPr>
        <w:instrText xml:space="preserve"> PAGEREF _Toc21884 \h </w:instrText>
      </w:r>
      <w:r>
        <w:rPr>
          <w:sz w:val="24"/>
        </w:rPr>
        <w:fldChar w:fldCharType="separate"/>
      </w:r>
      <w:r>
        <w:rPr>
          <w:sz w:val="24"/>
        </w:rPr>
        <w:t>76</w:t>
      </w:r>
      <w:r>
        <w:rPr>
          <w:sz w:val="24"/>
        </w:rPr>
        <w:fldChar w:fldCharType="end"/>
      </w:r>
      <w:r>
        <w:rPr>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"_Toc32517" </w:instrText>
      </w:r>
      <w:r>
        <w:fldChar w:fldCharType="separate"/>
      </w:r>
      <w:r>
        <w:rPr>
          <w:sz w:val="24"/>
        </w:rPr>
        <w:t>第十二章 退市与风险警示</w:t>
      </w:r>
      <w:r>
        <w:rPr>
          <w:sz w:val="24"/>
        </w:rPr>
        <w:tab/>
      </w:r>
      <w:r>
        <w:rPr>
          <w:sz w:val="24"/>
        </w:rPr>
        <w:fldChar w:fldCharType="begin"/>
      </w:r>
      <w:r>
        <w:rPr>
          <w:sz w:val="24"/>
        </w:rPr>
        <w:instrText xml:space="preserve"> PAGEREF _Toc32517 \h </w:instrText>
      </w:r>
      <w:r>
        <w:rPr>
          <w:sz w:val="24"/>
        </w:rPr>
        <w:fldChar w:fldCharType="separate"/>
      </w:r>
      <w:r>
        <w:rPr>
          <w:sz w:val="24"/>
        </w:rPr>
        <w:t>77</w:t>
      </w:r>
      <w:r>
        <w:rPr>
          <w:sz w:val="24"/>
        </w:rPr>
        <w:fldChar w:fldCharType="end"/>
      </w:r>
      <w:r>
        <w:rPr>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"_Toc4188" </w:instrText>
      </w:r>
      <w:r>
        <w:fldChar w:fldCharType="separate"/>
      </w:r>
      <w:r>
        <w:rPr>
          <w:rFonts w:eastAsia="仿宋_GB2312"/>
          <w:b w:val="0"/>
          <w:bCs/>
          <w:sz w:val="24"/>
        </w:rPr>
        <w:t>第一节  一般规定</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_Toc4188 \h </w:instrText>
      </w:r>
      <w:r>
        <w:rPr>
          <w:rFonts w:eastAsia="仿宋_GB2312"/>
          <w:b w:val="0"/>
          <w:bCs/>
          <w:sz w:val="24"/>
        </w:rPr>
        <w:fldChar w:fldCharType="separate"/>
      </w:r>
      <w:r>
        <w:rPr>
          <w:rFonts w:eastAsia="仿宋_GB2312"/>
          <w:b w:val="0"/>
          <w:bCs/>
          <w:sz w:val="24"/>
        </w:rPr>
        <w:t>77</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"_Toc10610" </w:instrText>
      </w:r>
      <w:r>
        <w:fldChar w:fldCharType="separate"/>
      </w:r>
      <w:r>
        <w:rPr>
          <w:rFonts w:eastAsia="仿宋_GB2312"/>
          <w:b w:val="0"/>
          <w:bCs/>
          <w:sz w:val="24"/>
        </w:rPr>
        <w:t>第二节  重大违法强制退市</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_Toc10610 \h </w:instrText>
      </w:r>
      <w:r>
        <w:rPr>
          <w:rFonts w:eastAsia="仿宋_GB2312"/>
          <w:b w:val="0"/>
          <w:bCs/>
          <w:sz w:val="24"/>
        </w:rPr>
        <w:fldChar w:fldCharType="separate"/>
      </w:r>
      <w:r>
        <w:rPr>
          <w:rFonts w:eastAsia="仿宋_GB2312"/>
          <w:b w:val="0"/>
          <w:bCs/>
          <w:sz w:val="24"/>
        </w:rPr>
        <w:t>80</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"_Toc21001" </w:instrText>
      </w:r>
      <w:r>
        <w:fldChar w:fldCharType="separate"/>
      </w:r>
      <w:r>
        <w:rPr>
          <w:rFonts w:eastAsia="仿宋_GB2312"/>
          <w:b w:val="0"/>
          <w:bCs/>
          <w:sz w:val="24"/>
        </w:rPr>
        <w:t>第三节  交易类强制退市</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_Toc21001 \h </w:instrText>
      </w:r>
      <w:r>
        <w:rPr>
          <w:rFonts w:eastAsia="仿宋_GB2312"/>
          <w:b w:val="0"/>
          <w:bCs/>
          <w:sz w:val="24"/>
        </w:rPr>
        <w:fldChar w:fldCharType="separate"/>
      </w:r>
      <w:r>
        <w:rPr>
          <w:rFonts w:eastAsia="仿宋_GB2312"/>
          <w:b w:val="0"/>
          <w:bCs/>
          <w:sz w:val="24"/>
        </w:rPr>
        <w:t>86</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"_Toc11050" </w:instrText>
      </w:r>
      <w:r>
        <w:fldChar w:fldCharType="separate"/>
      </w:r>
      <w:r>
        <w:rPr>
          <w:rFonts w:eastAsia="仿宋_GB2312"/>
          <w:b w:val="0"/>
          <w:bCs/>
          <w:sz w:val="24"/>
        </w:rPr>
        <w:t>第四节  财务类强制退市</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_Toc11050 \h </w:instrText>
      </w:r>
      <w:r>
        <w:rPr>
          <w:rFonts w:eastAsia="仿宋_GB2312"/>
          <w:b w:val="0"/>
          <w:bCs/>
          <w:sz w:val="24"/>
        </w:rPr>
        <w:fldChar w:fldCharType="separate"/>
      </w:r>
      <w:r>
        <w:rPr>
          <w:rFonts w:eastAsia="仿宋_GB2312"/>
          <w:b w:val="0"/>
          <w:bCs/>
          <w:sz w:val="24"/>
        </w:rPr>
        <w:t>90</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"_Toc23495" </w:instrText>
      </w:r>
      <w:r>
        <w:fldChar w:fldCharType="separate"/>
      </w:r>
      <w:r>
        <w:rPr>
          <w:rFonts w:eastAsia="仿宋_GB2312"/>
          <w:b w:val="0"/>
          <w:bCs/>
          <w:sz w:val="24"/>
        </w:rPr>
        <w:t>第五节  规范类强制退市</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_Toc23495 \h </w:instrText>
      </w:r>
      <w:r>
        <w:rPr>
          <w:rFonts w:eastAsia="仿宋_GB2312"/>
          <w:b w:val="0"/>
          <w:bCs/>
          <w:sz w:val="24"/>
        </w:rPr>
        <w:fldChar w:fldCharType="separate"/>
      </w:r>
      <w:r>
        <w:rPr>
          <w:rFonts w:eastAsia="仿宋_GB2312"/>
          <w:b w:val="0"/>
          <w:bCs/>
          <w:sz w:val="24"/>
        </w:rPr>
        <w:t>100</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"_Toc14307" </w:instrText>
      </w:r>
      <w:r>
        <w:fldChar w:fldCharType="separate"/>
      </w:r>
      <w:r>
        <w:rPr>
          <w:rFonts w:eastAsia="仿宋_GB2312"/>
          <w:b w:val="0"/>
          <w:bCs/>
          <w:sz w:val="24"/>
        </w:rPr>
        <w:t>第六节  听证与复核</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_Toc14307 \h </w:instrText>
      </w:r>
      <w:r>
        <w:rPr>
          <w:rFonts w:eastAsia="仿宋_GB2312"/>
          <w:b w:val="0"/>
          <w:bCs/>
          <w:sz w:val="24"/>
        </w:rPr>
        <w:fldChar w:fldCharType="separate"/>
      </w:r>
      <w:r>
        <w:rPr>
          <w:rFonts w:eastAsia="仿宋_GB2312"/>
          <w:b w:val="0"/>
          <w:bCs/>
          <w:sz w:val="24"/>
        </w:rPr>
        <w:t>109</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"_Toc13292" </w:instrText>
      </w:r>
      <w:r>
        <w:fldChar w:fldCharType="separate"/>
      </w:r>
      <w:r>
        <w:rPr>
          <w:rFonts w:eastAsia="仿宋_GB2312"/>
          <w:b w:val="0"/>
          <w:bCs/>
          <w:sz w:val="24"/>
        </w:rPr>
        <w:t>第七节  退市整理期</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_Toc13292 \h </w:instrText>
      </w:r>
      <w:r>
        <w:rPr>
          <w:rFonts w:eastAsia="仿宋_GB2312"/>
          <w:b w:val="0"/>
          <w:bCs/>
          <w:sz w:val="24"/>
        </w:rPr>
        <w:fldChar w:fldCharType="separate"/>
      </w:r>
      <w:r>
        <w:rPr>
          <w:rFonts w:eastAsia="仿宋_GB2312"/>
          <w:b w:val="0"/>
          <w:bCs/>
          <w:sz w:val="24"/>
        </w:rPr>
        <w:t>112</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"_Toc16422" </w:instrText>
      </w:r>
      <w:r>
        <w:fldChar w:fldCharType="separate"/>
      </w:r>
      <w:r>
        <w:rPr>
          <w:rFonts w:eastAsia="仿宋_GB2312"/>
          <w:b w:val="0"/>
          <w:bCs/>
          <w:sz w:val="24"/>
        </w:rPr>
        <w:t>第八节  主动终止上市</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_Toc16422 \h </w:instrText>
      </w:r>
      <w:r>
        <w:rPr>
          <w:rFonts w:eastAsia="仿宋_GB2312"/>
          <w:b w:val="0"/>
          <w:bCs/>
          <w:sz w:val="24"/>
        </w:rPr>
        <w:fldChar w:fldCharType="separate"/>
      </w:r>
      <w:r>
        <w:rPr>
          <w:rFonts w:eastAsia="仿宋_GB2312"/>
          <w:b w:val="0"/>
          <w:bCs/>
          <w:sz w:val="24"/>
        </w:rPr>
        <w:t>114</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"_Toc17956" </w:instrText>
      </w:r>
      <w:r>
        <w:fldChar w:fldCharType="separate"/>
      </w:r>
      <w:r>
        <w:rPr>
          <w:rFonts w:eastAsia="仿宋_GB2312"/>
          <w:b w:val="0"/>
          <w:bCs/>
          <w:sz w:val="24"/>
        </w:rPr>
        <w:t>第九节  其他风险警示</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_Toc17956 \h </w:instrText>
      </w:r>
      <w:r>
        <w:rPr>
          <w:rFonts w:eastAsia="仿宋_GB2312"/>
          <w:b w:val="0"/>
          <w:bCs/>
          <w:sz w:val="24"/>
        </w:rPr>
        <w:fldChar w:fldCharType="separate"/>
      </w:r>
      <w:r>
        <w:rPr>
          <w:rFonts w:eastAsia="仿宋_GB2312"/>
          <w:b w:val="0"/>
          <w:bCs/>
          <w:sz w:val="24"/>
        </w:rPr>
        <w:t>119</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"_Toc28953" </w:instrText>
      </w:r>
      <w:r>
        <w:fldChar w:fldCharType="separate"/>
      </w:r>
      <w:r>
        <w:rPr>
          <w:rFonts w:eastAsia="仿宋_GB2312"/>
          <w:b w:val="0"/>
          <w:bCs/>
          <w:sz w:val="24"/>
        </w:rPr>
        <w:t>第十节  再次上市</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_Toc28953 \h </w:instrText>
      </w:r>
      <w:r>
        <w:rPr>
          <w:rFonts w:eastAsia="仿宋_GB2312"/>
          <w:b w:val="0"/>
          <w:bCs/>
          <w:sz w:val="24"/>
        </w:rPr>
        <w:fldChar w:fldCharType="separate"/>
      </w:r>
      <w:r>
        <w:rPr>
          <w:rFonts w:eastAsia="仿宋_GB2312"/>
          <w:b w:val="0"/>
          <w:bCs/>
          <w:sz w:val="24"/>
        </w:rPr>
        <w:t>125</w:t>
      </w:r>
      <w:r>
        <w:rPr>
          <w:rFonts w:eastAsia="仿宋_GB2312"/>
          <w:b w:val="0"/>
          <w:bCs/>
          <w:sz w:val="24"/>
        </w:rPr>
        <w:fldChar w:fldCharType="end"/>
      </w:r>
      <w:r>
        <w:rPr>
          <w:rFonts w:eastAsia="仿宋_GB2312"/>
          <w:b w:val="0"/>
          <w:bCs/>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"_Toc17049" </w:instrText>
      </w:r>
      <w:r>
        <w:fldChar w:fldCharType="separate"/>
      </w:r>
      <w:r>
        <w:rPr>
          <w:sz w:val="24"/>
        </w:rPr>
        <w:t>第十三章 红筹企业和境内外事项的协调</w:t>
      </w:r>
      <w:r>
        <w:rPr>
          <w:sz w:val="24"/>
        </w:rPr>
        <w:tab/>
      </w:r>
      <w:r>
        <w:rPr>
          <w:sz w:val="24"/>
        </w:rPr>
        <w:fldChar w:fldCharType="begin"/>
      </w:r>
      <w:r>
        <w:rPr>
          <w:sz w:val="24"/>
        </w:rPr>
        <w:instrText xml:space="preserve"> PAGEREF _Toc17049 \h </w:instrText>
      </w:r>
      <w:r>
        <w:rPr>
          <w:sz w:val="24"/>
        </w:rPr>
        <w:fldChar w:fldCharType="separate"/>
      </w:r>
      <w:r>
        <w:rPr>
          <w:sz w:val="24"/>
        </w:rPr>
        <w:t>127</w:t>
      </w:r>
      <w:r>
        <w:rPr>
          <w:sz w:val="24"/>
        </w:rPr>
        <w:fldChar w:fldCharType="end"/>
      </w:r>
      <w:r>
        <w:rPr>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"_Toc31599" </w:instrText>
      </w:r>
      <w:r>
        <w:fldChar w:fldCharType="separate"/>
      </w:r>
      <w:r>
        <w:rPr>
          <w:rFonts w:eastAsia="仿宋_GB2312"/>
          <w:b w:val="0"/>
          <w:bCs/>
          <w:sz w:val="24"/>
        </w:rPr>
        <w:t>第一节 红筹企业特别规定</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_Toc31599 \h </w:instrText>
      </w:r>
      <w:r>
        <w:rPr>
          <w:rFonts w:eastAsia="仿宋_GB2312"/>
          <w:b w:val="0"/>
          <w:bCs/>
          <w:sz w:val="24"/>
        </w:rPr>
        <w:fldChar w:fldCharType="separate"/>
      </w:r>
      <w:r>
        <w:rPr>
          <w:rFonts w:eastAsia="仿宋_GB2312"/>
          <w:b w:val="0"/>
          <w:bCs/>
          <w:sz w:val="24"/>
        </w:rPr>
        <w:t>127</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"_Toc7070" </w:instrText>
      </w:r>
      <w:r>
        <w:fldChar w:fldCharType="separate"/>
      </w:r>
      <w:r>
        <w:rPr>
          <w:rFonts w:eastAsia="仿宋_GB2312"/>
          <w:b w:val="0"/>
          <w:bCs/>
          <w:sz w:val="24"/>
        </w:rPr>
        <w:t>第二节 境内外事项的协调</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_Toc7070 \h </w:instrText>
      </w:r>
      <w:r>
        <w:rPr>
          <w:rFonts w:eastAsia="仿宋_GB2312"/>
          <w:b w:val="0"/>
          <w:bCs/>
          <w:sz w:val="24"/>
        </w:rPr>
        <w:fldChar w:fldCharType="separate"/>
      </w:r>
      <w:r>
        <w:rPr>
          <w:rFonts w:eastAsia="仿宋_GB2312"/>
          <w:b w:val="0"/>
          <w:bCs/>
          <w:sz w:val="24"/>
        </w:rPr>
        <w:t>130</w:t>
      </w:r>
      <w:r>
        <w:rPr>
          <w:rFonts w:eastAsia="仿宋_GB2312"/>
          <w:b w:val="0"/>
          <w:bCs/>
          <w:sz w:val="24"/>
        </w:rPr>
        <w:fldChar w:fldCharType="end"/>
      </w:r>
      <w:r>
        <w:rPr>
          <w:rFonts w:eastAsia="仿宋_GB2312"/>
          <w:b w:val="0"/>
          <w:bCs/>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"_Toc8942" </w:instrText>
      </w:r>
      <w:r>
        <w:fldChar w:fldCharType="separate"/>
      </w:r>
      <w:r>
        <w:rPr>
          <w:sz w:val="24"/>
        </w:rPr>
        <w:t>第十四章 日常监管和违反本规则的处理</w:t>
      </w:r>
      <w:r>
        <w:rPr>
          <w:sz w:val="24"/>
        </w:rPr>
        <w:tab/>
      </w:r>
      <w:r>
        <w:rPr>
          <w:sz w:val="24"/>
        </w:rPr>
        <w:fldChar w:fldCharType="begin"/>
      </w:r>
      <w:r>
        <w:rPr>
          <w:sz w:val="24"/>
        </w:rPr>
        <w:instrText xml:space="preserve"> PAGEREF _Toc8942 \h </w:instrText>
      </w:r>
      <w:r>
        <w:rPr>
          <w:sz w:val="24"/>
        </w:rPr>
        <w:fldChar w:fldCharType="separate"/>
      </w:r>
      <w:r>
        <w:rPr>
          <w:sz w:val="24"/>
        </w:rPr>
        <w:t>131</w:t>
      </w:r>
      <w:r>
        <w:rPr>
          <w:sz w:val="24"/>
        </w:rPr>
        <w:fldChar w:fldCharType="end"/>
      </w:r>
      <w:r>
        <w:rPr>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"_Toc15769" </w:instrText>
      </w:r>
      <w:r>
        <w:fldChar w:fldCharType="separate"/>
      </w:r>
      <w:r>
        <w:rPr>
          <w:rFonts w:eastAsia="仿宋_GB2312"/>
          <w:b w:val="0"/>
          <w:bCs/>
          <w:sz w:val="24"/>
        </w:rPr>
        <w:t>第一节 日常监管</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_Toc15769 \h </w:instrText>
      </w:r>
      <w:r>
        <w:rPr>
          <w:rFonts w:eastAsia="仿宋_GB2312"/>
          <w:b w:val="0"/>
          <w:bCs/>
          <w:sz w:val="24"/>
        </w:rPr>
        <w:fldChar w:fldCharType="separate"/>
      </w:r>
      <w:r>
        <w:rPr>
          <w:rFonts w:eastAsia="仿宋_GB2312"/>
          <w:b w:val="0"/>
          <w:bCs/>
          <w:sz w:val="24"/>
        </w:rPr>
        <w:t>131</w:t>
      </w:r>
      <w:r>
        <w:rPr>
          <w:rFonts w:eastAsia="仿宋_GB2312"/>
          <w:b w:val="0"/>
          <w:bCs/>
          <w:sz w:val="24"/>
        </w:rPr>
        <w:fldChar w:fldCharType="end"/>
      </w:r>
      <w:r>
        <w:rPr>
          <w:rFonts w:eastAsia="仿宋_GB2312"/>
          <w:b w:val="0"/>
          <w:bCs/>
          <w:sz w:val="24"/>
        </w:rPr>
        <w:fldChar w:fldCharType="end"/>
      </w:r>
    </w:p>
    <w:p>
      <w:pPr>
        <w:pStyle w:val="18"/>
        <w:tabs>
          <w:tab w:val="right" w:leader="dot" w:pos="8312"/>
          <w:tab w:val="clear" w:pos="1276"/>
          <w:tab w:val="clear" w:pos="8380"/>
        </w:tabs>
        <w:snapToGrid w:val="0"/>
        <w:ind w:left="420" w:leftChars="200" w:firstLine="643"/>
        <w:rPr>
          <w:rFonts w:eastAsia="仿宋_GB2312"/>
          <w:b w:val="0"/>
          <w:bCs/>
          <w:sz w:val="24"/>
        </w:rPr>
      </w:pPr>
      <w:r>
        <w:fldChar w:fldCharType="begin"/>
      </w:r>
      <w:r>
        <w:instrText xml:space="preserve"> HYPERLINK \l "_Toc25397" </w:instrText>
      </w:r>
      <w:r>
        <w:fldChar w:fldCharType="separate"/>
      </w:r>
      <w:r>
        <w:rPr>
          <w:rFonts w:eastAsia="仿宋_GB2312"/>
          <w:b w:val="0"/>
          <w:bCs/>
          <w:sz w:val="24"/>
        </w:rPr>
        <w:t>第二节 违反本规则的处理</w:t>
      </w:r>
      <w:r>
        <w:rPr>
          <w:rFonts w:eastAsia="仿宋_GB2312"/>
          <w:b w:val="0"/>
          <w:bCs/>
          <w:sz w:val="24"/>
        </w:rPr>
        <w:tab/>
      </w:r>
      <w:r>
        <w:rPr>
          <w:rFonts w:eastAsia="仿宋_GB2312"/>
          <w:b w:val="0"/>
          <w:bCs/>
          <w:sz w:val="24"/>
        </w:rPr>
        <w:fldChar w:fldCharType="begin"/>
      </w:r>
      <w:r>
        <w:rPr>
          <w:rFonts w:eastAsia="仿宋_GB2312"/>
          <w:b w:val="0"/>
          <w:bCs/>
          <w:sz w:val="24"/>
        </w:rPr>
        <w:instrText xml:space="preserve"> PAGEREF _Toc25397 \h </w:instrText>
      </w:r>
      <w:r>
        <w:rPr>
          <w:rFonts w:eastAsia="仿宋_GB2312"/>
          <w:b w:val="0"/>
          <w:bCs/>
          <w:sz w:val="24"/>
        </w:rPr>
        <w:fldChar w:fldCharType="separate"/>
      </w:r>
      <w:r>
        <w:rPr>
          <w:rFonts w:eastAsia="仿宋_GB2312"/>
          <w:b w:val="0"/>
          <w:bCs/>
          <w:sz w:val="24"/>
        </w:rPr>
        <w:t>132</w:t>
      </w:r>
      <w:r>
        <w:rPr>
          <w:rFonts w:eastAsia="仿宋_GB2312"/>
          <w:b w:val="0"/>
          <w:bCs/>
          <w:sz w:val="24"/>
        </w:rPr>
        <w:fldChar w:fldCharType="end"/>
      </w:r>
      <w:r>
        <w:rPr>
          <w:rFonts w:eastAsia="仿宋_GB2312"/>
          <w:b w:val="0"/>
          <w:bCs/>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"_Toc15158" </w:instrText>
      </w:r>
      <w:r>
        <w:fldChar w:fldCharType="separate"/>
      </w:r>
      <w:r>
        <w:rPr>
          <w:sz w:val="24"/>
        </w:rPr>
        <w:t>第十五章 释  义</w:t>
      </w:r>
      <w:r>
        <w:rPr>
          <w:sz w:val="24"/>
        </w:rPr>
        <w:tab/>
      </w:r>
      <w:r>
        <w:rPr>
          <w:sz w:val="24"/>
        </w:rPr>
        <w:fldChar w:fldCharType="begin"/>
      </w:r>
      <w:r>
        <w:rPr>
          <w:sz w:val="24"/>
        </w:rPr>
        <w:instrText xml:space="preserve"> PAGEREF _Toc15158 \h </w:instrText>
      </w:r>
      <w:r>
        <w:rPr>
          <w:sz w:val="24"/>
        </w:rPr>
        <w:fldChar w:fldCharType="separate"/>
      </w:r>
      <w:r>
        <w:rPr>
          <w:sz w:val="24"/>
        </w:rPr>
        <w:t>136</w:t>
      </w:r>
      <w:r>
        <w:rPr>
          <w:sz w:val="24"/>
        </w:rPr>
        <w:fldChar w:fldCharType="end"/>
      </w:r>
      <w:r>
        <w:rPr>
          <w:sz w:val="24"/>
        </w:rPr>
        <w:fldChar w:fldCharType="end"/>
      </w:r>
    </w:p>
    <w:p>
      <w:pPr>
        <w:pStyle w:val="15"/>
        <w:tabs>
          <w:tab w:val="right" w:leader="dot" w:pos="8312"/>
          <w:tab w:val="clear" w:pos="420"/>
          <w:tab w:val="clear" w:pos="1134"/>
          <w:tab w:val="clear" w:pos="8380"/>
        </w:tabs>
        <w:snapToGrid w:val="0"/>
        <w:ind w:firstLine="643"/>
        <w:rPr>
          <w:sz w:val="24"/>
        </w:rPr>
      </w:pPr>
      <w:r>
        <w:fldChar w:fldCharType="begin"/>
      </w:r>
      <w:r>
        <w:instrText xml:space="preserve"> HYPERLINK \l "_Toc7080" </w:instrText>
      </w:r>
      <w:r>
        <w:fldChar w:fldCharType="separate"/>
      </w:r>
      <w:r>
        <w:rPr>
          <w:sz w:val="24"/>
        </w:rPr>
        <w:t>第十六章 附  则</w:t>
      </w:r>
      <w:r>
        <w:rPr>
          <w:sz w:val="24"/>
        </w:rPr>
        <w:tab/>
      </w:r>
      <w:r>
        <w:rPr>
          <w:sz w:val="24"/>
        </w:rPr>
        <w:fldChar w:fldCharType="begin"/>
      </w:r>
      <w:r>
        <w:rPr>
          <w:sz w:val="24"/>
        </w:rPr>
        <w:instrText xml:space="preserve"> PAGEREF _Toc7080 \h </w:instrText>
      </w:r>
      <w:r>
        <w:rPr>
          <w:sz w:val="24"/>
        </w:rPr>
        <w:fldChar w:fldCharType="separate"/>
      </w:r>
      <w:r>
        <w:rPr>
          <w:sz w:val="24"/>
        </w:rPr>
        <w:t>142</w:t>
      </w:r>
      <w:r>
        <w:rPr>
          <w:sz w:val="24"/>
        </w:rPr>
        <w:fldChar w:fldCharType="end"/>
      </w:r>
      <w:r>
        <w:rPr>
          <w:sz w:val="24"/>
        </w:rPr>
        <w:fldChar w:fldCharType="end"/>
      </w:r>
    </w:p>
    <w:p>
      <w:pPr>
        <w:tabs>
          <w:tab w:val="left" w:leader="dot" w:pos="8280"/>
        </w:tabs>
        <w:snapToGrid w:val="0"/>
        <w:spacing w:line="560" w:lineRule="exact"/>
        <w:ind w:firstLine="480" w:firstLineChars="200"/>
        <w:rPr>
          <w:rFonts w:ascii="仿宋_GB2312" w:hAnsi="宋体" w:eastAsia="仿宋_GB2312"/>
          <w:sz w:val="32"/>
          <w:szCs w:val="32"/>
        </w:rPr>
      </w:pPr>
      <w:r>
        <w:rPr>
          <w:rFonts w:eastAsia="仿宋_GB2312"/>
          <w:sz w:val="24"/>
        </w:rPr>
        <w:fldChar w:fldCharType="end"/>
      </w:r>
    </w:p>
    <w:p>
      <w:pPr>
        <w:tabs>
          <w:tab w:val="left" w:leader="dot" w:pos="8280"/>
        </w:tabs>
        <w:snapToGrid w:val="0"/>
        <w:spacing w:line="560" w:lineRule="exact"/>
        <w:ind w:firstLine="640" w:firstLineChars="200"/>
        <w:rPr>
          <w:rFonts w:ascii="仿宋_GB2312" w:hAnsi="宋体" w:eastAsia="仿宋_GB2312"/>
          <w:sz w:val="32"/>
          <w:szCs w:val="32"/>
        </w:rPr>
        <w:sectPr>
          <w:footerReference r:id="rId3" w:type="default"/>
          <w:footerReference r:id="rId4" w:type="even"/>
          <w:pgSz w:w="11906" w:h="16838"/>
          <w:pgMar w:top="1440" w:right="1797" w:bottom="1440" w:left="1797" w:header="851" w:footer="992" w:gutter="0"/>
          <w:pgNumType w:start="1"/>
          <w:cols w:space="425" w:num="1"/>
          <w:docGrid w:type="lines" w:linePitch="312" w:charSpace="0"/>
        </w:sectPr>
      </w:pPr>
    </w:p>
    <w:p>
      <w:pPr>
        <w:pStyle w:val="81"/>
        <w:rPr>
          <w:b/>
        </w:rPr>
      </w:pPr>
      <w:bookmarkStart w:id="1" w:name="_Toc28099"/>
      <w:r>
        <w:rPr>
          <w:rFonts w:hint="eastAsia"/>
        </w:rPr>
        <w:t>总  则</w:t>
      </w:r>
      <w:bookmarkEnd w:id="1"/>
    </w:p>
    <w:p>
      <w:pPr>
        <w:pStyle w:val="34"/>
        <w:numPr>
          <w:ilvl w:val="0"/>
          <w:numId w:val="2"/>
        </w:numPr>
        <w:spacing w:line="560" w:lineRule="exact"/>
        <w:ind w:left="0" w:firstLine="640"/>
        <w:rPr>
          <w:rFonts w:ascii="仿宋_GB2312" w:hAnsi="宋体"/>
          <w:sz w:val="32"/>
          <w:szCs w:val="32"/>
        </w:rPr>
      </w:pPr>
      <w:r>
        <w:rPr>
          <w:rFonts w:hint="eastAsia" w:ascii="仿宋_GB2312" w:hAnsi="宋体"/>
          <w:sz w:val="32"/>
          <w:szCs w:val="32"/>
        </w:rPr>
        <w:t>为了规范上海证券交易所（以下简称本所）科创板上市和持续监管事宜，支持引导科技创新企业更好地发展，提升公司治理水平，维护证券市场公开、公平、公正，保护投资者的合法权益，增强投资者回报，推动提高上市公司质量，促进资本市场健康发展，根据《中华人民共和国公司法》(以下简称《公司法》)、《中华人民共和国证券法》（以下简称《证券法》）、《关于在上海证券交易所设立科创板并试点注册制的实施意见》《科创板上市公司持续监管办法（试行）》《证券交易所管理办法》等相关法律、行政法规、部门规章、规范性文件（以下统称法律法规）以及《上海证券交易所章程》，制定本规则。</w:t>
      </w:r>
    </w:p>
    <w:p>
      <w:pPr>
        <w:pStyle w:val="34"/>
        <w:numPr>
          <w:ilvl w:val="0"/>
          <w:numId w:val="2"/>
        </w:numPr>
        <w:spacing w:line="560" w:lineRule="exact"/>
        <w:ind w:left="0" w:firstLine="640"/>
        <w:rPr>
          <w:rFonts w:ascii="仿宋_GB2312" w:hAnsi="宋体"/>
          <w:sz w:val="32"/>
          <w:szCs w:val="32"/>
        </w:rPr>
      </w:pPr>
      <w:r>
        <w:rPr>
          <w:rFonts w:hint="eastAsia" w:ascii="仿宋_GB2312" w:hAnsi="宋体"/>
          <w:sz w:val="32"/>
          <w:szCs w:val="32"/>
        </w:rPr>
        <w:t>股票、存托凭证及其衍生品种在本所科创板的上市和持续监管等事宜，适用本规则；本规则未作规定的，适用本所其他有关规定。</w:t>
      </w:r>
    </w:p>
    <w:p>
      <w:pPr>
        <w:pStyle w:val="34"/>
        <w:numPr>
          <w:ilvl w:val="0"/>
          <w:numId w:val="2"/>
        </w:numPr>
        <w:spacing w:line="560" w:lineRule="exact"/>
        <w:ind w:left="0" w:firstLine="640"/>
        <w:rPr>
          <w:rFonts w:ascii="仿宋_GB2312" w:hAnsi="宋体"/>
          <w:sz w:val="32"/>
          <w:szCs w:val="32"/>
        </w:rPr>
      </w:pPr>
      <w:r>
        <w:rPr>
          <w:rFonts w:hint="eastAsia" w:ascii="仿宋_GB2312" w:hAnsi="宋体"/>
          <w:sz w:val="32"/>
          <w:szCs w:val="32"/>
        </w:rPr>
        <w:t>发行人股票在本所科创板首次上市，应当经本所审核并由中国证监会作出同意注册决定。发行人应当与本所签订上市协议，明确双方的权利、义务和其他有关事项。</w:t>
      </w:r>
    </w:p>
    <w:p>
      <w:pPr>
        <w:pStyle w:val="34"/>
        <w:numPr>
          <w:ilvl w:val="0"/>
          <w:numId w:val="2"/>
        </w:numPr>
        <w:spacing w:line="560" w:lineRule="exact"/>
        <w:ind w:left="0" w:firstLine="640"/>
        <w:rPr>
          <w:rFonts w:ascii="仿宋_GB2312" w:hAnsi="宋体"/>
          <w:sz w:val="32"/>
          <w:szCs w:val="32"/>
        </w:rPr>
      </w:pPr>
      <w:r>
        <w:rPr>
          <w:rFonts w:hint="eastAsia" w:ascii="仿宋_GB2312" w:hAnsi="宋体"/>
          <w:sz w:val="32"/>
          <w:szCs w:val="32"/>
        </w:rPr>
        <w:t>发行人、上市公司及其董事、监事、高级管理人员、核心技术人员、股东或存托凭证持有人、实际控制人、收购人及其相关人员、重大资产重组交易对方及其相关人员、</w:t>
      </w:r>
      <w:r>
        <w:rPr>
          <w:rFonts w:hint="eastAsia" w:ascii="仿宋_GB2312" w:hAnsi="Arial Unicode MS" w:cs="Arial Unicode MS"/>
          <w:sz w:val="32"/>
          <w:szCs w:val="32"/>
        </w:rPr>
        <w:t>破产管理人及其成员</w:t>
      </w:r>
      <w:r>
        <w:rPr>
          <w:rFonts w:hint="eastAsia" w:ascii="仿宋_GB2312" w:hAnsi="宋体"/>
          <w:sz w:val="32"/>
          <w:szCs w:val="32"/>
        </w:rPr>
        <w:t>，应当遵守法律法规、本规则以及本所其他规定，履行信息披露义务，促进公司规范运作。</w:t>
      </w:r>
    </w:p>
    <w:p>
      <w:pPr>
        <w:pStyle w:val="34"/>
        <w:numPr>
          <w:ilvl w:val="0"/>
          <w:numId w:val="2"/>
        </w:numPr>
        <w:spacing w:line="560" w:lineRule="exact"/>
        <w:ind w:left="0" w:firstLine="640"/>
        <w:rPr>
          <w:rFonts w:ascii="仿宋_GB2312" w:hAnsi="宋体"/>
          <w:sz w:val="32"/>
          <w:szCs w:val="32"/>
        </w:rPr>
      </w:pPr>
      <w:r>
        <w:rPr>
          <w:rFonts w:hint="eastAsia" w:ascii="仿宋_GB2312" w:hAnsi="宋体"/>
          <w:sz w:val="32"/>
          <w:szCs w:val="32"/>
        </w:rPr>
        <w:t>为发行人、上市公司以及相关信息披露义务人提供服务的保荐机构、保荐代表人、证券服务机构及其相关人员,应当遵守法律法规、本规则以及本所其他规定，诚实守信，勤勉尽责。</w:t>
      </w:r>
    </w:p>
    <w:p>
      <w:pPr>
        <w:spacing w:line="560" w:lineRule="exact"/>
        <w:ind w:firstLine="640" w:firstLineChars="200"/>
        <w:rPr>
          <w:rFonts w:ascii="仿宋_GB2312" w:hAnsi="Arial Unicode MS" w:eastAsia="仿宋_GB2312" w:cs="Arial Unicode MS"/>
          <w:sz w:val="32"/>
          <w:szCs w:val="32"/>
        </w:rPr>
      </w:pPr>
      <w:r>
        <w:rPr>
          <w:rFonts w:hint="eastAsia" w:ascii="仿宋_GB2312" w:hAnsi="宋体" w:eastAsia="仿宋_GB2312"/>
          <w:sz w:val="32"/>
          <w:szCs w:val="32"/>
        </w:rPr>
        <w:t>保荐机构、保荐代表人和证券服务机构制作、出具文件应当对所依据资料内容的真实性、准确性、完整性进行核查和验证，所制作、出具的文件不得有虚假记载、误导性陈述或者重大遗漏</w:t>
      </w:r>
      <w:r>
        <w:rPr>
          <w:rFonts w:hint="eastAsia" w:ascii="仿宋_GB2312" w:eastAsia="仿宋_GB2312"/>
          <w:bCs/>
          <w:sz w:val="32"/>
          <w:szCs w:val="32"/>
        </w:rPr>
        <w:t>。</w:t>
      </w:r>
    </w:p>
    <w:p>
      <w:pPr>
        <w:pStyle w:val="34"/>
        <w:numPr>
          <w:ilvl w:val="0"/>
          <w:numId w:val="2"/>
        </w:numPr>
        <w:spacing w:line="560" w:lineRule="exact"/>
        <w:ind w:left="0" w:firstLine="640"/>
        <w:rPr>
          <w:rFonts w:ascii="仿宋_GB2312" w:hAnsi="宋体"/>
          <w:sz w:val="32"/>
          <w:szCs w:val="32"/>
        </w:rPr>
      </w:pPr>
      <w:r>
        <w:rPr>
          <w:rFonts w:hint="eastAsia" w:ascii="仿宋_GB2312" w:hAnsi="宋体"/>
          <w:sz w:val="32"/>
          <w:szCs w:val="32"/>
        </w:rPr>
        <w:t>本所依据法律法规、本规则以及本所其他规定、上市协议、相关主体的声明与承诺，对前述第</w:t>
      </w:r>
      <w:r>
        <w:rPr>
          <w:rFonts w:ascii="仿宋_GB2312" w:hAnsi="宋体"/>
          <w:sz w:val="32"/>
          <w:szCs w:val="32"/>
        </w:rPr>
        <w:t>1.4</w:t>
      </w:r>
      <w:r>
        <w:rPr>
          <w:rFonts w:hint="eastAsia" w:ascii="仿宋_GB2312" w:hAnsi="宋体"/>
          <w:sz w:val="32"/>
          <w:szCs w:val="32"/>
        </w:rPr>
        <w:t>条、第</w:t>
      </w:r>
      <w:r>
        <w:rPr>
          <w:rFonts w:ascii="仿宋_GB2312" w:hAnsi="宋体"/>
          <w:sz w:val="32"/>
          <w:szCs w:val="32"/>
        </w:rPr>
        <w:t>1.5</w:t>
      </w:r>
      <w:r>
        <w:rPr>
          <w:rFonts w:hint="eastAsia" w:ascii="仿宋_GB2312" w:hAnsi="宋体"/>
          <w:sz w:val="32"/>
          <w:szCs w:val="32"/>
        </w:rPr>
        <w:t>条规定的机构及相关人员进行自律监管。</w:t>
      </w:r>
    </w:p>
    <w:p>
      <w:pPr>
        <w:spacing w:line="560" w:lineRule="exact"/>
        <w:rPr>
          <w:rFonts w:ascii="仿宋_GB2312" w:hAnsi="宋体" w:eastAsia="仿宋_GB2312"/>
          <w:sz w:val="32"/>
          <w:szCs w:val="32"/>
        </w:rPr>
      </w:pPr>
    </w:p>
    <w:p>
      <w:pPr>
        <w:pStyle w:val="81"/>
        <w:rPr>
          <w:b/>
        </w:rPr>
      </w:pPr>
      <w:bookmarkStart w:id="2" w:name="_Toc3029"/>
      <w:r>
        <w:rPr>
          <w:rFonts w:hint="eastAsia"/>
        </w:rPr>
        <w:t>股票上市与交易</w:t>
      </w:r>
      <w:bookmarkEnd w:id="2"/>
    </w:p>
    <w:p>
      <w:pPr>
        <w:pStyle w:val="36"/>
        <w:numPr>
          <w:ilvl w:val="1"/>
          <w:numId w:val="1"/>
        </w:numPr>
        <w:ind w:left="0" w:firstLine="643"/>
      </w:pPr>
      <w:bookmarkStart w:id="3" w:name="_Toc5593"/>
      <w:r>
        <w:rPr>
          <w:rFonts w:hint="eastAsia"/>
        </w:rPr>
        <w:t>首次公开发行股票的上市</w:t>
      </w:r>
      <w:bookmarkEnd w:id="3"/>
    </w:p>
    <w:p>
      <w:pPr>
        <w:numPr>
          <w:ilvl w:val="2"/>
          <w:numId w:val="3"/>
        </w:numPr>
        <w:tabs>
          <w:tab w:val="left" w:pos="1260"/>
          <w:tab w:val="clear" w:pos="720"/>
        </w:tabs>
        <w:autoSpaceDE w:val="0"/>
        <w:autoSpaceDN w:val="0"/>
        <w:adjustRightInd w:val="0"/>
        <w:snapToGrid w:val="0"/>
        <w:spacing w:line="560" w:lineRule="exact"/>
        <w:ind w:left="0" w:firstLine="640" w:firstLineChars="200"/>
        <w:rPr>
          <w:rFonts w:ascii="仿宋_GB2312" w:hAnsi="宋体" w:eastAsia="仿宋_GB2312" w:cs="宋体"/>
          <w:sz w:val="32"/>
          <w:szCs w:val="32"/>
        </w:rPr>
      </w:pPr>
      <w:r>
        <w:rPr>
          <w:rFonts w:hint="eastAsia" w:ascii="仿宋_GB2312" w:hAnsi="宋体" w:eastAsia="仿宋_GB2312" w:cs="宋体"/>
          <w:sz w:val="32"/>
          <w:szCs w:val="32"/>
        </w:rPr>
        <w:t>发行人申请在本所科创板上市，应当符合下列条件：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（一）符合中国证监会规定的发行条件；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（二）发行后股本总额不低于人民币3000万元；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（三）公开发行的股份达到公司股份总数的25%以上；公司股本总额超过人民币4亿元的，公开发行股份的比例为10%以上；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（四）市值及财务指标符合本规则规定的标准；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（五）本所规定的其他上市条件。</w:t>
      </w:r>
    </w:p>
    <w:p>
      <w:pPr>
        <w:spacing w:line="560" w:lineRule="exact"/>
        <w:ind w:firstLine="640" w:firstLineChars="200"/>
        <w:rPr>
          <w:rFonts w:ascii="仿宋_GB2312" w:hAnsi="宋体" w:eastAsia="仿宋_GB2312" w:cs="宋体"/>
          <w:sz w:val="32"/>
          <w:szCs w:val="32"/>
        </w:rPr>
      </w:pPr>
      <w:r>
        <w:rPr>
          <w:rFonts w:ascii="仿宋_GB2312" w:eastAsia="仿宋_GB2312" w:cs="宋体"/>
          <w:sz w:val="32"/>
          <w:szCs w:val="32"/>
        </w:rPr>
        <w:t>红筹企业发行股票的，前款第二项调整为</w:t>
      </w:r>
      <w:r>
        <w:rPr>
          <w:rFonts w:hint="eastAsia" w:ascii="仿宋_GB2312" w:eastAsia="仿宋_GB2312" w:cs="宋体"/>
          <w:sz w:val="32"/>
          <w:szCs w:val="32"/>
        </w:rPr>
        <w:t>发行后的股份总数不低于3000万股</w:t>
      </w:r>
      <w:r>
        <w:rPr>
          <w:rFonts w:ascii="仿宋_GB2312" w:eastAsia="仿宋_GB2312" w:cs="宋体"/>
          <w:sz w:val="32"/>
          <w:szCs w:val="32"/>
        </w:rPr>
        <w:t>，前款第三项调整为</w:t>
      </w:r>
      <w:r>
        <w:rPr>
          <w:rFonts w:hint="eastAsia" w:ascii="仿宋_GB2312" w:eastAsia="仿宋_GB2312" w:cs="宋体"/>
          <w:sz w:val="32"/>
          <w:szCs w:val="32"/>
        </w:rPr>
        <w:t>公开发行的股份达到公司股份总数的25%以上；公司股份总数超过4亿股的，公开发行股份的比例为10%以上</w:t>
      </w:r>
      <w:r>
        <w:rPr>
          <w:rFonts w:ascii="仿宋_GB2312" w:eastAsia="仿宋_GB2312" w:cs="宋体"/>
          <w:sz w:val="32"/>
          <w:szCs w:val="32"/>
        </w:rPr>
        <w:t>。红筹企业发行存托凭证的，前款第二项调整为</w:t>
      </w:r>
      <w:r>
        <w:rPr>
          <w:rFonts w:hint="eastAsia" w:ascii="仿宋_GB2312" w:eastAsia="仿宋_GB2312" w:cs="宋体"/>
          <w:sz w:val="32"/>
          <w:szCs w:val="32"/>
        </w:rPr>
        <w:t>发行后的存托凭证总份数不低于3000万份</w:t>
      </w:r>
      <w:r>
        <w:rPr>
          <w:rFonts w:ascii="仿宋_GB2312" w:eastAsia="仿宋_GB2312" w:cs="宋体"/>
          <w:sz w:val="32"/>
          <w:szCs w:val="32"/>
        </w:rPr>
        <w:t>，前款第三项调整为</w:t>
      </w:r>
      <w:r>
        <w:rPr>
          <w:rFonts w:hint="eastAsia" w:ascii="仿宋_GB2312" w:eastAsia="仿宋_GB2312" w:cs="宋体"/>
          <w:sz w:val="32"/>
          <w:szCs w:val="32"/>
        </w:rPr>
        <w:t>公开发行的存托凭证对应基础股份达到公司股份总数的25%以上；发行后的存托凭证总份数超过4亿份的，公开发行存托凭证对应基础股份达到公司股份总数的10%以上</w:t>
      </w:r>
      <w:r>
        <w:rPr>
          <w:rFonts w:ascii="仿宋_GB2312" w:eastAsia="仿宋_GB2312" w:cs="宋体"/>
          <w:sz w:val="32"/>
          <w:szCs w:val="32"/>
        </w:rPr>
        <w:t>。</w:t>
      </w:r>
    </w:p>
    <w:p>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本所可以根据市场情况，经中国证监会批准，对上市条件和具体标准进行调整。</w:t>
      </w:r>
    </w:p>
    <w:p>
      <w:pPr>
        <w:numPr>
          <w:ilvl w:val="2"/>
          <w:numId w:val="3"/>
        </w:numPr>
        <w:tabs>
          <w:tab w:val="left" w:pos="1260"/>
          <w:tab w:val="clear" w:pos="720"/>
        </w:tabs>
        <w:autoSpaceDE w:val="0"/>
        <w:autoSpaceDN w:val="0"/>
        <w:adjustRightInd w:val="0"/>
        <w:snapToGrid w:val="0"/>
        <w:spacing w:line="560" w:lineRule="exact"/>
        <w:ind w:left="0" w:firstLine="640" w:firstLineChars="200"/>
        <w:rPr>
          <w:rFonts w:ascii="仿宋_GB2312" w:hAnsi="宋体" w:eastAsia="仿宋_GB2312" w:cs="宋体"/>
          <w:sz w:val="32"/>
          <w:szCs w:val="32"/>
        </w:rPr>
      </w:pPr>
      <w:r>
        <w:rPr>
          <w:rFonts w:hint="eastAsia" w:ascii="仿宋_GB2312" w:hAnsi="宋体" w:eastAsia="仿宋_GB2312" w:cs="宋体"/>
          <w:sz w:val="32"/>
          <w:szCs w:val="32"/>
        </w:rPr>
        <w:t>发行人申请在本所科创板上市，</w:t>
      </w:r>
      <w:r>
        <w:rPr>
          <w:rFonts w:hint="eastAsia" w:ascii="仿宋_GB2312" w:eastAsia="仿宋_GB2312"/>
          <w:sz w:val="32"/>
          <w:szCs w:val="32"/>
        </w:rPr>
        <w:t>市值及财务指标应当至少符合下列标准中的一项</w:t>
      </w:r>
      <w:r>
        <w:rPr>
          <w:rFonts w:hint="eastAsia" w:ascii="仿宋_GB2312" w:hAnsi="宋体" w:eastAsia="仿宋_GB2312" w:cs="宋体"/>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（一）预计市值不低于人民币10亿元，最近两年净利润均为正且累计净利润不低于人民币5000万元，或者预计市值不低于人民币10亿元，最近一年净利润为正且营业收入不低于人民币1亿元；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（二）预计市值不低于人民币15亿元，最近一年营业收入不低于人民币2亿元，且最近三年累计研发投入占最近三年累计营业收入的比例不低于15%；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（三）预计市值不低于人民币20亿元，最近一年营业收入不低于人民币3亿元，且最近三年经营活动产生的现金流量净额累计不低于人民币1亿元；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（四）预计市值不低于人民币30亿元，且最近一年营业收入不低于人民币3亿元；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（五）预计市值不低于人民币40亿元，</w:t>
      </w:r>
      <w:r>
        <w:rPr>
          <w:rFonts w:ascii="仿宋_GB2312" w:eastAsia="仿宋_GB2312"/>
          <w:sz w:val="32"/>
          <w:szCs w:val="32"/>
        </w:rPr>
        <w:t>主要业务或产品需经国家有关部门批准，市场空间大，目前已取得阶段性成果。</w:t>
      </w:r>
      <w:r>
        <w:rPr>
          <w:rFonts w:hint="eastAsia" w:ascii="仿宋_GB2312" w:eastAsia="仿宋_GB2312"/>
          <w:sz w:val="32"/>
          <w:szCs w:val="32"/>
        </w:rPr>
        <w:t>医药行业企业需至少有一项核心产品获准开展二期临床试验，其他</w:t>
      </w:r>
      <w:r>
        <w:rPr>
          <w:rFonts w:ascii="仿宋_GB2312" w:eastAsia="仿宋_GB2312"/>
          <w:sz w:val="32"/>
          <w:szCs w:val="32"/>
        </w:rPr>
        <w:t>符合科创板定位的</w:t>
      </w:r>
      <w:r>
        <w:rPr>
          <w:rFonts w:hint="eastAsia" w:ascii="仿宋_GB2312" w:eastAsia="仿宋_GB2312"/>
          <w:sz w:val="32"/>
          <w:szCs w:val="32"/>
        </w:rPr>
        <w:t>企业</w:t>
      </w:r>
      <w:r>
        <w:rPr>
          <w:rFonts w:ascii="仿宋_GB2312" w:eastAsia="仿宋_GB2312"/>
          <w:sz w:val="32"/>
          <w:szCs w:val="32"/>
        </w:rPr>
        <w:t>需具备明显的技术优势并满足相应条件</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本条所称净利润以扣除非经常性损益前后的孰低者为准，所称净利润、营业收入、经营活动产生的现金流量净额均指经审计的数值。</w:t>
      </w:r>
    </w:p>
    <w:p>
      <w:pPr>
        <w:numPr>
          <w:ilvl w:val="2"/>
          <w:numId w:val="3"/>
        </w:numPr>
        <w:tabs>
          <w:tab w:val="left" w:pos="1260"/>
          <w:tab w:val="clear" w:pos="720"/>
        </w:tabs>
        <w:autoSpaceDE w:val="0"/>
        <w:autoSpaceDN w:val="0"/>
        <w:adjustRightInd w:val="0"/>
        <w:snapToGrid w:val="0"/>
        <w:spacing w:line="560" w:lineRule="exact"/>
        <w:ind w:left="0" w:firstLine="640" w:firstLineChars="200"/>
        <w:rPr>
          <w:rFonts w:ascii="仿宋_GB2312" w:hAnsi="宋体" w:eastAsia="仿宋_GB2312" w:cs="宋体"/>
          <w:sz w:val="32"/>
          <w:szCs w:val="32"/>
        </w:rPr>
      </w:pPr>
      <w:r>
        <w:rPr>
          <w:rFonts w:ascii="仿宋_GB2312" w:eastAsia="仿宋_GB2312"/>
          <w:sz w:val="32"/>
          <w:szCs w:val="32"/>
        </w:rPr>
        <w:t>符合《国务院办公厅转发证监会关于开展创新企业境内发行股票或存托凭证试点若干意见的通知》（国办发</w:t>
      </w:r>
      <w:r>
        <w:rPr>
          <w:rFonts w:hint="eastAsia" w:ascii="宋体" w:hAnsi="宋体" w:cs="宋体"/>
          <w:sz w:val="32"/>
          <w:szCs w:val="32"/>
        </w:rPr>
        <w:t>﹝</w:t>
      </w:r>
      <w:r>
        <w:rPr>
          <w:rFonts w:ascii="仿宋_GB2312" w:eastAsia="仿宋_GB2312"/>
          <w:sz w:val="32"/>
          <w:szCs w:val="32"/>
        </w:rPr>
        <w:t>2018</w:t>
      </w:r>
      <w:r>
        <w:rPr>
          <w:rFonts w:hint="eastAsia" w:ascii="宋体" w:hAnsi="宋体" w:cs="宋体"/>
          <w:sz w:val="32"/>
          <w:szCs w:val="32"/>
        </w:rPr>
        <w:t>﹞</w:t>
      </w:r>
      <w:r>
        <w:rPr>
          <w:rFonts w:ascii="仿宋_GB2312" w:eastAsia="仿宋_GB2312"/>
          <w:sz w:val="32"/>
          <w:szCs w:val="32"/>
        </w:rPr>
        <w:t>21号）相关规定的红筹企业，可以申请发行股票或存托凭证并在科创板上市。</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营业收入快速增长，</w:t>
      </w:r>
      <w:r>
        <w:rPr>
          <w:rFonts w:ascii="仿宋_GB2312" w:eastAsia="仿宋_GB2312"/>
          <w:sz w:val="32"/>
          <w:szCs w:val="32"/>
        </w:rPr>
        <w:t>拥有自主研发、国际领先技术，同行业竞争中处于相对优势地位的尚未在境外上市红筹企业，申请在科创板上市的，市值及财务指标应当</w:t>
      </w:r>
      <w:r>
        <w:rPr>
          <w:rFonts w:hint="eastAsia" w:ascii="仿宋_GB2312" w:eastAsia="仿宋_GB2312"/>
          <w:sz w:val="32"/>
          <w:szCs w:val="32"/>
        </w:rPr>
        <w:t>至少</w:t>
      </w:r>
      <w:r>
        <w:rPr>
          <w:rFonts w:ascii="仿宋_GB2312" w:eastAsia="仿宋_GB2312"/>
          <w:sz w:val="32"/>
          <w:szCs w:val="32"/>
        </w:rPr>
        <w:t>符合下列标准之一：</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（一）预计市值不低于人民币100亿元；</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（二）预计市值不低于人民币50亿元，且最近一年营业收入不低于人民币5亿元。</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前款所称营业收入快速增长，指符合下列标准之一：</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（一）最近一年营业收入不低于人民币5亿元的，最近3年营业收入复合增长率10%以上；</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（二）最近一年营业收入低于人民币5亿元的，最近3年营业收入复合增长率20%以上；</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（三）受行业周期性波动等因素影响，行业整体处于下行周期的，发行人最近3年营业收入复合增长率高于同行业可比公司同期平均增长水平。</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处于研发阶段的红筹企业和对国家创新驱动发展战略有重要意义的红筹企业，不适用“营业收入快速增长”上述要求。</w:t>
      </w:r>
    </w:p>
    <w:p>
      <w:pPr>
        <w:numPr>
          <w:ilvl w:val="2"/>
          <w:numId w:val="3"/>
        </w:numPr>
        <w:tabs>
          <w:tab w:val="left" w:pos="1260"/>
          <w:tab w:val="clear" w:pos="720"/>
        </w:tabs>
        <w:autoSpaceDE w:val="0"/>
        <w:autoSpaceDN w:val="0"/>
        <w:adjustRightInd w:val="0"/>
        <w:snapToGrid w:val="0"/>
        <w:spacing w:line="560" w:lineRule="exact"/>
        <w:ind w:left="0" w:firstLine="640" w:firstLineChars="200"/>
        <w:rPr>
          <w:rFonts w:ascii="仿宋_GB2312" w:hAnsi="宋体" w:eastAsia="仿宋_GB2312" w:cs="宋体"/>
          <w:sz w:val="32"/>
          <w:szCs w:val="32"/>
        </w:rPr>
      </w:pPr>
      <w:r>
        <w:rPr>
          <w:rFonts w:hint="eastAsia" w:ascii="仿宋_GB2312" w:hAnsi="宋体" w:eastAsia="仿宋_GB2312" w:cs="宋体"/>
          <w:sz w:val="32"/>
          <w:szCs w:val="32"/>
        </w:rPr>
        <w:t>发行人具有表决权差异安排的，</w:t>
      </w:r>
      <w:r>
        <w:rPr>
          <w:rFonts w:hint="eastAsia" w:ascii="仿宋_GB2312" w:eastAsia="仿宋_GB2312"/>
          <w:sz w:val="32"/>
          <w:szCs w:val="32"/>
        </w:rPr>
        <w:t>市值及财务指标应当至少符合下列标准中的一项</w:t>
      </w:r>
      <w:r>
        <w:rPr>
          <w:rFonts w:hint="eastAsia" w:ascii="仿宋_GB2312" w:hAnsi="宋体" w:eastAsia="仿宋_GB2312" w:cs="宋体"/>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（一）预计市值不低于人民币100亿元；</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（二）预计市值不低于人民币50亿元，且最近一年营业收入不低于人民币5亿元。</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宋体" w:eastAsia="仿宋_GB2312" w:cs="宋体"/>
          <w:sz w:val="32"/>
          <w:szCs w:val="32"/>
        </w:rPr>
        <w:t>发行人特别表决权股份的持有人资格、公司章程关于表决权差异安排的具体规定，应当符合本规则第四章第五节的规定。</w:t>
      </w:r>
    </w:p>
    <w:p>
      <w:pPr>
        <w:autoSpaceDE w:val="0"/>
        <w:autoSpaceDN w:val="0"/>
        <w:adjustRightInd w:val="0"/>
        <w:snapToGrid w:val="0"/>
        <w:spacing w:line="560" w:lineRule="exact"/>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仿宋_GB2312" w:eastAsia="仿宋_GB2312"/>
          <w:sz w:val="32"/>
          <w:szCs w:val="32"/>
        </w:rPr>
        <w:t>本规则所称表决权差异安排，是指发行人依照《公司法》第一百三十一条的规定，在一般规定的普通股份之外，发行拥有特别表决权的股份（以下简称特别表决权股份）。每一特别表决权股份拥有的表决权数量大于每一普通股份拥有的表决权数量，其他股东权利与普通股份相同。</w:t>
      </w:r>
    </w:p>
    <w:p>
      <w:pPr>
        <w:numPr>
          <w:ilvl w:val="2"/>
          <w:numId w:val="3"/>
        </w:numPr>
        <w:tabs>
          <w:tab w:val="left" w:pos="1260"/>
          <w:tab w:val="clear" w:pos="72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发行人首次公开发行股票经中国证监会同意注册并完成股份公开发行后，向本所提出股票上市申请的，应当提交下列文件：</w:t>
      </w:r>
    </w:p>
    <w:p>
      <w:pPr>
        <w:pStyle w:val="34"/>
        <w:numPr>
          <w:ilvl w:val="0"/>
          <w:numId w:val="4"/>
        </w:numPr>
        <w:autoSpaceDE w:val="0"/>
        <w:autoSpaceDN w:val="0"/>
        <w:adjustRightInd w:val="0"/>
        <w:snapToGrid w:val="0"/>
        <w:spacing w:line="560" w:lineRule="exact"/>
        <w:ind w:left="0" w:firstLine="640"/>
        <w:rPr>
          <w:rFonts w:ascii="仿宋_GB2312" w:hAnsi="宋体"/>
          <w:sz w:val="32"/>
          <w:szCs w:val="32"/>
        </w:rPr>
      </w:pPr>
      <w:r>
        <w:rPr>
          <w:rFonts w:hint="eastAsia" w:ascii="仿宋_GB2312" w:hAnsi="宋体"/>
          <w:sz w:val="32"/>
          <w:szCs w:val="32"/>
        </w:rPr>
        <w:t>上市申请书；</w:t>
      </w:r>
    </w:p>
    <w:p>
      <w:pPr>
        <w:pStyle w:val="34"/>
        <w:numPr>
          <w:ilvl w:val="0"/>
          <w:numId w:val="4"/>
        </w:numPr>
        <w:autoSpaceDE w:val="0"/>
        <w:autoSpaceDN w:val="0"/>
        <w:adjustRightInd w:val="0"/>
        <w:snapToGrid w:val="0"/>
        <w:spacing w:line="560" w:lineRule="exact"/>
        <w:ind w:left="0" w:firstLine="640"/>
        <w:rPr>
          <w:rFonts w:ascii="仿宋_GB2312" w:hAnsi="宋体"/>
          <w:sz w:val="32"/>
          <w:szCs w:val="32"/>
        </w:rPr>
      </w:pPr>
      <w:r>
        <w:rPr>
          <w:rFonts w:hint="eastAsia" w:ascii="仿宋_GB2312" w:hAnsi="宋体"/>
          <w:sz w:val="32"/>
          <w:szCs w:val="32"/>
        </w:rPr>
        <w:t>中国证监会同意注册的决定；</w:t>
      </w:r>
    </w:p>
    <w:p>
      <w:pPr>
        <w:pStyle w:val="34"/>
        <w:numPr>
          <w:ilvl w:val="0"/>
          <w:numId w:val="4"/>
        </w:numPr>
        <w:autoSpaceDE w:val="0"/>
        <w:autoSpaceDN w:val="0"/>
        <w:adjustRightInd w:val="0"/>
        <w:snapToGrid w:val="0"/>
        <w:spacing w:line="560" w:lineRule="exact"/>
        <w:ind w:left="0" w:firstLine="640"/>
        <w:rPr>
          <w:rFonts w:ascii="仿宋_GB2312" w:hAnsi="宋体"/>
          <w:sz w:val="32"/>
          <w:szCs w:val="32"/>
        </w:rPr>
      </w:pPr>
      <w:r>
        <w:rPr>
          <w:rFonts w:hint="eastAsia" w:ascii="仿宋_GB2312" w:hAnsi="宋体"/>
          <w:sz w:val="32"/>
          <w:szCs w:val="32"/>
        </w:rPr>
        <w:t>首次公开发行结束后发行人全部股票已经中国证券登记结算有限责任公司（以下简称中国结算）上海分公司登记的证明文件；</w:t>
      </w:r>
    </w:p>
    <w:p>
      <w:pPr>
        <w:pStyle w:val="34"/>
        <w:numPr>
          <w:ilvl w:val="0"/>
          <w:numId w:val="4"/>
        </w:numPr>
        <w:autoSpaceDE w:val="0"/>
        <w:autoSpaceDN w:val="0"/>
        <w:adjustRightInd w:val="0"/>
        <w:snapToGrid w:val="0"/>
        <w:spacing w:line="560" w:lineRule="exact"/>
        <w:ind w:left="0" w:firstLine="640"/>
        <w:rPr>
          <w:rFonts w:ascii="仿宋_GB2312" w:hAnsi="宋体"/>
          <w:sz w:val="32"/>
          <w:szCs w:val="32"/>
        </w:rPr>
      </w:pPr>
      <w:r>
        <w:rPr>
          <w:rFonts w:hint="eastAsia" w:ascii="仿宋_GB2312" w:hAnsi="宋体"/>
          <w:sz w:val="32"/>
          <w:szCs w:val="32"/>
        </w:rPr>
        <w:t>首次公开发行结束后，具有执行证券、期货相关业务资格的会计师事务所出具的验资报告；</w:t>
      </w:r>
    </w:p>
    <w:p>
      <w:pPr>
        <w:pStyle w:val="34"/>
        <w:numPr>
          <w:ilvl w:val="0"/>
          <w:numId w:val="4"/>
        </w:numPr>
        <w:autoSpaceDE w:val="0"/>
        <w:autoSpaceDN w:val="0"/>
        <w:adjustRightInd w:val="0"/>
        <w:snapToGrid w:val="0"/>
        <w:spacing w:line="560" w:lineRule="exact"/>
        <w:ind w:left="0" w:firstLine="640"/>
        <w:rPr>
          <w:rFonts w:ascii="仿宋_GB2312" w:hAnsi="宋体"/>
          <w:sz w:val="32"/>
          <w:szCs w:val="32"/>
        </w:rPr>
      </w:pPr>
      <w:r>
        <w:rPr>
          <w:rFonts w:hint="eastAsia" w:ascii="仿宋_GB2312" w:hAnsi="宋体"/>
          <w:sz w:val="32"/>
          <w:szCs w:val="32"/>
        </w:rPr>
        <w:t>发行人、控股股东、实际控制人、董事、监事和高级管理人员根据本规则要求出具的证明、声明及承诺；</w:t>
      </w:r>
    </w:p>
    <w:p>
      <w:pPr>
        <w:pStyle w:val="34"/>
        <w:numPr>
          <w:ilvl w:val="0"/>
          <w:numId w:val="4"/>
        </w:numPr>
        <w:autoSpaceDE w:val="0"/>
        <w:autoSpaceDN w:val="0"/>
        <w:adjustRightInd w:val="0"/>
        <w:snapToGrid w:val="0"/>
        <w:spacing w:line="560" w:lineRule="exact"/>
        <w:ind w:left="0" w:firstLine="640"/>
        <w:rPr>
          <w:rFonts w:ascii="仿宋_GB2312" w:hAnsi="宋体"/>
          <w:sz w:val="32"/>
          <w:szCs w:val="32"/>
        </w:rPr>
      </w:pPr>
      <w:r>
        <w:rPr>
          <w:rFonts w:hint="eastAsia" w:ascii="仿宋_GB2312" w:hAnsi="宋体"/>
          <w:sz w:val="32"/>
          <w:szCs w:val="32"/>
        </w:rPr>
        <w:t>首次公开发行后至上市前，按规定新增的财务资料和有关重大事项的说明（如适用）；</w:t>
      </w:r>
    </w:p>
    <w:p>
      <w:pPr>
        <w:pStyle w:val="34"/>
        <w:numPr>
          <w:ilvl w:val="0"/>
          <w:numId w:val="4"/>
        </w:numPr>
        <w:autoSpaceDE w:val="0"/>
        <w:autoSpaceDN w:val="0"/>
        <w:adjustRightInd w:val="0"/>
        <w:snapToGrid w:val="0"/>
        <w:spacing w:line="560" w:lineRule="exact"/>
        <w:ind w:left="0" w:firstLine="640"/>
        <w:rPr>
          <w:rFonts w:ascii="仿宋_GB2312" w:hAnsi="宋体"/>
          <w:sz w:val="32"/>
          <w:szCs w:val="32"/>
        </w:rPr>
      </w:pPr>
      <w:r>
        <w:rPr>
          <w:rFonts w:hint="eastAsia" w:ascii="仿宋_GB2312" w:hAnsi="宋体"/>
          <w:sz w:val="32"/>
          <w:szCs w:val="32"/>
        </w:rPr>
        <w:t>本所要求的其他文件。</w:t>
      </w:r>
    </w:p>
    <w:p>
      <w:pPr>
        <w:numPr>
          <w:ilvl w:val="2"/>
          <w:numId w:val="3"/>
        </w:numPr>
        <w:tabs>
          <w:tab w:val="left" w:pos="1260"/>
          <w:tab w:val="clear" w:pos="72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发行人及其董事、监事、高级管理人员应当保证上市申请文件真实、准确、完整，不存在虚假记载、误导性陈述或者重大遗漏。</w:t>
      </w:r>
    </w:p>
    <w:p>
      <w:pPr>
        <w:numPr>
          <w:ilvl w:val="2"/>
          <w:numId w:val="3"/>
        </w:numPr>
        <w:tabs>
          <w:tab w:val="left" w:pos="1260"/>
          <w:tab w:val="clear" w:pos="720"/>
        </w:tabs>
        <w:autoSpaceDE w:val="0"/>
        <w:autoSpaceDN w:val="0"/>
        <w:adjustRightInd w:val="0"/>
        <w:snapToGrid w:val="0"/>
        <w:spacing w:line="560" w:lineRule="exact"/>
        <w:ind w:left="0" w:firstLine="640" w:firstLineChars="200"/>
        <w:rPr>
          <w:rFonts w:ascii="仿宋_GB2312" w:hAnsi="宋体" w:eastAsia="仿宋_GB2312" w:cs="宋体"/>
          <w:sz w:val="32"/>
          <w:szCs w:val="32"/>
        </w:rPr>
      </w:pPr>
      <w:r>
        <w:rPr>
          <w:rFonts w:hint="eastAsia" w:ascii="仿宋_GB2312" w:hAnsi="宋体" w:eastAsia="仿宋_GB2312"/>
          <w:sz w:val="32"/>
          <w:szCs w:val="32"/>
        </w:rPr>
        <w:t>本所收到发行人上市申请文件后</w:t>
      </w:r>
      <w:r>
        <w:rPr>
          <w:rFonts w:ascii="仿宋_GB2312" w:hAnsi="宋体" w:eastAsia="仿宋_GB2312"/>
          <w:sz w:val="32"/>
          <w:szCs w:val="32"/>
        </w:rPr>
        <w:t>5</w:t>
      </w:r>
      <w:r>
        <w:rPr>
          <w:rFonts w:hint="eastAsia" w:ascii="仿宋_GB2312" w:hAnsi="宋体" w:eastAsia="仿宋_GB2312"/>
          <w:sz w:val="32"/>
          <w:szCs w:val="32"/>
        </w:rPr>
        <w:t>个交易日内，作出是否同意上市的决定。</w:t>
      </w:r>
    </w:p>
    <w:p>
      <w:pPr>
        <w:autoSpaceDE w:val="0"/>
        <w:autoSpaceDN w:val="0"/>
        <w:adjustRightInd w:val="0"/>
        <w:snapToGrid w:val="0"/>
        <w:spacing w:line="560" w:lineRule="exact"/>
        <w:rPr>
          <w:rFonts w:ascii="仿宋_GB2312" w:hAnsi="宋体" w:eastAsia="仿宋_GB2312" w:cs="宋体"/>
          <w:sz w:val="32"/>
          <w:szCs w:val="32"/>
        </w:rPr>
      </w:pPr>
      <w:r>
        <w:rPr>
          <w:rFonts w:hint="eastAsia" w:ascii="仿宋_GB2312" w:hAnsi="宋体" w:eastAsia="仿宋_GB2312"/>
          <w:sz w:val="32"/>
          <w:szCs w:val="32"/>
        </w:rPr>
        <w:t xml:space="preserve">    发行人发生</w:t>
      </w:r>
      <w:r>
        <w:rPr>
          <w:rFonts w:hint="eastAsia" w:ascii="仿宋_GB2312" w:eastAsia="仿宋_GB2312"/>
          <w:sz w:val="32"/>
          <w:szCs w:val="32"/>
        </w:rPr>
        <w:t>重大事项，对是否符合上市条件和信息披露要求产生重大影响的，本所可提请上市审核委员会（以下简称上市委员会）进行审议，审议时间不计入前款规定时限。</w:t>
      </w:r>
    </w:p>
    <w:p>
      <w:pPr>
        <w:numPr>
          <w:ilvl w:val="2"/>
          <w:numId w:val="3"/>
        </w:numPr>
        <w:tabs>
          <w:tab w:val="left" w:pos="1260"/>
          <w:tab w:val="clear" w:pos="72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发行人应当于股票上市前5个交易日内，在指定媒体及本所网站上披露下列文件：</w:t>
      </w:r>
    </w:p>
    <w:p>
      <w:pPr>
        <w:autoSpaceDE w:val="0"/>
        <w:autoSpaceDN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（一）上市公告书；</w:t>
      </w:r>
    </w:p>
    <w:p>
      <w:pPr>
        <w:autoSpaceDE w:val="0"/>
        <w:autoSpaceDN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（二）公司章程；</w:t>
      </w:r>
    </w:p>
    <w:p>
      <w:pPr>
        <w:autoSpaceDE w:val="0"/>
        <w:autoSpaceDN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（三）本所要求的其他文件。</w:t>
      </w:r>
    </w:p>
    <w:p>
      <w:pPr>
        <w:pStyle w:val="36"/>
        <w:numPr>
          <w:ilvl w:val="1"/>
          <w:numId w:val="1"/>
        </w:numPr>
        <w:ind w:left="0" w:firstLine="643"/>
      </w:pPr>
      <w:bookmarkStart w:id="4" w:name="_Toc3728"/>
      <w:r>
        <w:rPr>
          <w:rFonts w:hint="eastAsia"/>
        </w:rPr>
        <w:t>上市公司股票发行上市</w:t>
      </w:r>
      <w:bookmarkEnd w:id="4"/>
    </w:p>
    <w:p>
      <w:pPr>
        <w:numPr>
          <w:ilvl w:val="2"/>
          <w:numId w:val="5"/>
        </w:numPr>
        <w:tabs>
          <w:tab w:val="left" w:pos="0"/>
          <w:tab w:val="clear" w:pos="72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上市公司依法公开发行股票的，可以在规定时间内披露招股说明书、配股说明书等相关文件，并向本所申请办理股票公开发行、配股事宜。</w:t>
      </w:r>
    </w:p>
    <w:p>
      <w:pPr>
        <w:numPr>
          <w:ilvl w:val="2"/>
          <w:numId w:val="5"/>
        </w:numPr>
        <w:tabs>
          <w:tab w:val="left" w:pos="0"/>
          <w:tab w:val="clear" w:pos="72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上市公司股票公开发行或配股结束并完成登记后，应当在股票上市前披露上市公告等相关文件，并向本所申请办理新增股份上市事宜。</w:t>
      </w:r>
    </w:p>
    <w:p>
      <w:pPr>
        <w:numPr>
          <w:ilvl w:val="2"/>
          <w:numId w:val="5"/>
        </w:numPr>
        <w:tabs>
          <w:tab w:val="left" w:pos="0"/>
          <w:tab w:val="clear" w:pos="72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eastAsia="仿宋_GB2312"/>
          <w:sz w:val="32"/>
          <w:szCs w:val="32"/>
        </w:rPr>
        <w:t>上市公司非公开发行股票结束并完成登记后，应当在股票上市前披露发行结果公告等相关文件，</w:t>
      </w:r>
      <w:r>
        <w:rPr>
          <w:rFonts w:hint="eastAsia" w:ascii="仿宋_GB2312" w:hAnsi="宋体" w:eastAsia="仿宋_GB2312"/>
          <w:sz w:val="32"/>
          <w:szCs w:val="32"/>
        </w:rPr>
        <w:t>并向本所申请办理新增股份上市事宜。</w:t>
      </w:r>
    </w:p>
    <w:p>
      <w:pPr>
        <w:pStyle w:val="36"/>
        <w:numPr>
          <w:ilvl w:val="1"/>
          <w:numId w:val="1"/>
        </w:numPr>
        <w:ind w:left="0" w:firstLine="643"/>
        <w:rPr>
          <w:rFonts w:hAnsi="宋体"/>
          <w:u w:val="single"/>
          <w:shd w:val="pct10" w:color="auto" w:fill="FFFFFF"/>
        </w:rPr>
      </w:pPr>
      <w:bookmarkStart w:id="5" w:name="_Toc21974"/>
      <w:r>
        <w:rPr>
          <w:rFonts w:hint="eastAsia"/>
        </w:rPr>
        <w:t>股份解除限售</w:t>
      </w:r>
      <w:bookmarkEnd w:id="5"/>
    </w:p>
    <w:p>
      <w:pPr>
        <w:numPr>
          <w:ilvl w:val="2"/>
          <w:numId w:val="6"/>
        </w:numPr>
        <w:tabs>
          <w:tab w:val="left" w:pos="0"/>
          <w:tab w:val="clear" w:pos="72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下列股份符合解除限售条件的，股东可以通过上市公司申请解除限售：</w:t>
      </w:r>
    </w:p>
    <w:p>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（一）发行人首次公开发行前已发行的股份（以下简称首发前股份）；</w:t>
      </w:r>
    </w:p>
    <w:p>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（二）上市公司非公开发行的股份；</w:t>
      </w:r>
    </w:p>
    <w:p>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（三）发行人、上市公司向证券投资基金、战略投资者及其他法人或者自然人配售的股份；</w:t>
      </w:r>
    </w:p>
    <w:p>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（四）董事、监事、高级管理人员以及核心技术人员等所持限售股份；</w:t>
      </w:r>
    </w:p>
    <w:p>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（五）其他限售股份。</w:t>
      </w:r>
    </w:p>
    <w:p>
      <w:pPr>
        <w:numPr>
          <w:ilvl w:val="2"/>
          <w:numId w:val="6"/>
        </w:numPr>
        <w:tabs>
          <w:tab w:val="left" w:pos="0"/>
          <w:tab w:val="clear" w:pos="72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上市公司申请股份解除限售，应当在限售解除前5个交易日披露提示性公告。</w:t>
      </w:r>
    </w:p>
    <w:p>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上市公司应当披露股东履行限售承诺的情况，保荐机构、</w:t>
      </w:r>
      <w:r>
        <w:rPr>
          <w:rFonts w:hint="eastAsia" w:ascii="仿宋_GB2312" w:hAnsi="宋体" w:eastAsia="仿宋_GB2312"/>
          <w:sz w:val="32"/>
          <w:szCs w:val="32"/>
        </w:rPr>
        <w:t>证券服务机构</w:t>
      </w:r>
      <w:r>
        <w:rPr>
          <w:rFonts w:hint="eastAsia" w:ascii="仿宋_GB2312" w:eastAsia="仿宋_GB2312"/>
          <w:sz w:val="32"/>
          <w:szCs w:val="32"/>
        </w:rPr>
        <w:t>应当发表意见并披露。</w:t>
      </w:r>
    </w:p>
    <w:p>
      <w:pPr>
        <w:pStyle w:val="36"/>
        <w:numPr>
          <w:ilvl w:val="1"/>
          <w:numId w:val="1"/>
        </w:numPr>
        <w:ind w:left="0" w:firstLine="643"/>
      </w:pPr>
      <w:bookmarkStart w:id="6" w:name="_Toc530297481"/>
      <w:bookmarkEnd w:id="6"/>
      <w:bookmarkStart w:id="7" w:name="_Toc530297505"/>
      <w:bookmarkEnd w:id="7"/>
      <w:bookmarkStart w:id="8" w:name="_Toc530297490"/>
      <w:bookmarkEnd w:id="8"/>
      <w:bookmarkStart w:id="9" w:name="_Toc530237008"/>
      <w:bookmarkEnd w:id="9"/>
      <w:bookmarkStart w:id="10" w:name="_Toc530237021"/>
      <w:bookmarkEnd w:id="10"/>
      <w:bookmarkStart w:id="11" w:name="_Toc530297496"/>
      <w:bookmarkEnd w:id="11"/>
      <w:bookmarkStart w:id="12" w:name="_Toc530297480"/>
      <w:bookmarkEnd w:id="12"/>
      <w:bookmarkStart w:id="13" w:name="_Toc530237019"/>
      <w:bookmarkEnd w:id="13"/>
      <w:bookmarkStart w:id="14" w:name="_Toc530237022"/>
      <w:bookmarkEnd w:id="14"/>
      <w:bookmarkStart w:id="15" w:name="_Toc530297492"/>
      <w:bookmarkEnd w:id="15"/>
      <w:bookmarkStart w:id="16" w:name="_Toc530237012"/>
      <w:bookmarkEnd w:id="16"/>
      <w:bookmarkStart w:id="17" w:name="_Toc530237029"/>
      <w:bookmarkEnd w:id="17"/>
      <w:bookmarkStart w:id="18" w:name="_Toc530237007"/>
      <w:bookmarkEnd w:id="18"/>
      <w:bookmarkStart w:id="19" w:name="_Toc530297507"/>
      <w:bookmarkEnd w:id="19"/>
      <w:bookmarkStart w:id="20" w:name="_Toc530237031"/>
      <w:bookmarkEnd w:id="20"/>
      <w:bookmarkStart w:id="21" w:name="_Toc530297501"/>
      <w:bookmarkEnd w:id="21"/>
      <w:bookmarkStart w:id="22" w:name="_Toc530237030"/>
      <w:bookmarkEnd w:id="22"/>
      <w:bookmarkStart w:id="23" w:name="_Toc530297486"/>
      <w:bookmarkEnd w:id="23"/>
      <w:bookmarkStart w:id="24" w:name="_Toc530237020"/>
      <w:bookmarkEnd w:id="24"/>
      <w:bookmarkStart w:id="25" w:name="_Toc530297503"/>
      <w:bookmarkEnd w:id="25"/>
      <w:bookmarkStart w:id="26" w:name="_Toc530237009"/>
      <w:bookmarkEnd w:id="26"/>
      <w:bookmarkStart w:id="27" w:name="_Toc530237024"/>
      <w:bookmarkEnd w:id="27"/>
      <w:bookmarkStart w:id="28" w:name="_Toc530237026"/>
      <w:bookmarkEnd w:id="28"/>
      <w:bookmarkStart w:id="29" w:name="_Toc530297502"/>
      <w:bookmarkEnd w:id="29"/>
      <w:bookmarkStart w:id="30" w:name="_Toc530237011"/>
      <w:bookmarkEnd w:id="30"/>
      <w:bookmarkStart w:id="31" w:name="_Toc530237013"/>
      <w:bookmarkEnd w:id="31"/>
      <w:bookmarkStart w:id="32" w:name="_Toc530297494"/>
      <w:bookmarkEnd w:id="32"/>
      <w:bookmarkStart w:id="33" w:name="_Toc530297487"/>
      <w:bookmarkEnd w:id="33"/>
      <w:bookmarkStart w:id="34" w:name="_Toc530297483"/>
      <w:bookmarkEnd w:id="34"/>
      <w:bookmarkStart w:id="35" w:name="_Toc530237018"/>
      <w:bookmarkEnd w:id="35"/>
      <w:bookmarkStart w:id="36" w:name="_Toc530237016"/>
      <w:bookmarkEnd w:id="36"/>
      <w:bookmarkStart w:id="37" w:name="_Toc530237027"/>
      <w:bookmarkEnd w:id="37"/>
      <w:bookmarkStart w:id="38" w:name="_Toc530237010"/>
      <w:bookmarkEnd w:id="38"/>
      <w:bookmarkStart w:id="39" w:name="_Toc530297500"/>
      <w:bookmarkEnd w:id="39"/>
      <w:bookmarkStart w:id="40" w:name="_Toc530237023"/>
      <w:bookmarkEnd w:id="40"/>
      <w:bookmarkStart w:id="41" w:name="_Toc530237025"/>
      <w:bookmarkEnd w:id="41"/>
      <w:bookmarkStart w:id="42" w:name="_Toc530237015"/>
      <w:bookmarkEnd w:id="42"/>
      <w:bookmarkStart w:id="43" w:name="_Toc530297479"/>
      <w:bookmarkEnd w:id="43"/>
      <w:bookmarkStart w:id="44" w:name="_Toc530297489"/>
      <w:bookmarkEnd w:id="44"/>
      <w:bookmarkStart w:id="45" w:name="_Toc530237017"/>
      <w:bookmarkEnd w:id="45"/>
      <w:bookmarkStart w:id="46" w:name="_Toc530237004"/>
      <w:bookmarkEnd w:id="46"/>
      <w:bookmarkStart w:id="47" w:name="_Toc530237032"/>
      <w:bookmarkEnd w:id="47"/>
      <w:bookmarkStart w:id="48" w:name="_Toc530297491"/>
      <w:bookmarkEnd w:id="48"/>
      <w:bookmarkStart w:id="49" w:name="_Toc530237014"/>
      <w:bookmarkEnd w:id="49"/>
      <w:bookmarkStart w:id="50" w:name="_Toc530297497"/>
      <w:bookmarkEnd w:id="50"/>
      <w:bookmarkStart w:id="51" w:name="_Toc530297498"/>
      <w:bookmarkEnd w:id="51"/>
      <w:bookmarkStart w:id="52" w:name="_Toc530237028"/>
      <w:bookmarkEnd w:id="52"/>
      <w:bookmarkStart w:id="53" w:name="_Toc530297499"/>
      <w:bookmarkEnd w:id="53"/>
      <w:bookmarkStart w:id="54" w:name="_Toc530237006"/>
      <w:bookmarkEnd w:id="54"/>
      <w:bookmarkStart w:id="55" w:name="_Toc530297493"/>
      <w:bookmarkEnd w:id="55"/>
      <w:bookmarkStart w:id="56" w:name="_Toc530297504"/>
      <w:bookmarkEnd w:id="56"/>
      <w:bookmarkStart w:id="57" w:name="_Toc530297506"/>
      <w:bookmarkEnd w:id="57"/>
      <w:bookmarkStart w:id="58" w:name="_Toc530297495"/>
      <w:bookmarkEnd w:id="58"/>
      <w:bookmarkStart w:id="59" w:name="_Toc530297484"/>
      <w:bookmarkEnd w:id="59"/>
      <w:bookmarkStart w:id="60" w:name="_Toc530297485"/>
      <w:bookmarkEnd w:id="60"/>
      <w:bookmarkStart w:id="61" w:name="_Toc530297488"/>
      <w:bookmarkEnd w:id="61"/>
      <w:bookmarkStart w:id="62" w:name="_Toc530237005"/>
      <w:bookmarkEnd w:id="62"/>
      <w:bookmarkStart w:id="63" w:name="_Toc530297482"/>
      <w:bookmarkEnd w:id="63"/>
      <w:bookmarkStart w:id="64" w:name="_Toc19123"/>
      <w:r>
        <w:rPr>
          <w:rFonts w:hint="eastAsia"/>
        </w:rPr>
        <w:t>股份减持</w:t>
      </w:r>
      <w:bookmarkEnd w:id="64"/>
    </w:p>
    <w:p>
      <w:pPr>
        <w:numPr>
          <w:ilvl w:val="2"/>
          <w:numId w:val="7"/>
        </w:numPr>
        <w:tabs>
          <w:tab w:val="left" w:pos="0"/>
          <w:tab w:val="left" w:pos="156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上市公司股份的限售与减持，适用本规则；本规则未规定的，适用</w:t>
      </w:r>
      <w:r>
        <w:rPr>
          <w:rFonts w:hint="eastAsia" w:ascii="仿宋_GB2312" w:eastAsia="仿宋_GB2312"/>
          <w:sz w:val="32"/>
          <w:szCs w:val="32"/>
        </w:rPr>
        <w:t>《上海证券交易所上市公司股东及董事、监事、高级管理人员减持股份实施细则》（以下简称《减持细则》）、《上海证券交易所上市公司创业投资基金股东减持股份实施细则》</w:t>
      </w:r>
      <w:r>
        <w:rPr>
          <w:rFonts w:hint="eastAsia" w:ascii="仿宋_GB2312" w:hAnsi="宋体" w:eastAsia="仿宋_GB2312"/>
          <w:sz w:val="32"/>
          <w:szCs w:val="32"/>
        </w:rPr>
        <w:t>及本所其他有关规定。</w:t>
      </w:r>
    </w:p>
    <w:p>
      <w:pPr>
        <w:tabs>
          <w:tab w:val="left" w:pos="156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上市公司股东可以通过非公开转让、配售方式转让首发前股份，转让的方式、程序、价格、比例以及后续转让等事项，以及</w:t>
      </w:r>
      <w:r>
        <w:rPr>
          <w:rFonts w:hint="eastAsia" w:ascii="仿宋_GB2312" w:hAnsi="宋体" w:eastAsia="仿宋_GB2312"/>
          <w:sz w:val="32"/>
          <w:szCs w:val="32"/>
        </w:rPr>
        <w:t>上市公司非公开发行股份涉及的减持由本所另行规定</w:t>
      </w:r>
      <w:r>
        <w:rPr>
          <w:rFonts w:hint="eastAsia" w:ascii="仿宋_GB2312" w:eastAsia="仿宋_GB2312"/>
          <w:sz w:val="32"/>
          <w:szCs w:val="32"/>
        </w:rPr>
        <w:t>，报中国证监会批准后实施。</w:t>
      </w:r>
    </w:p>
    <w:p>
      <w:pPr>
        <w:numPr>
          <w:ilvl w:val="2"/>
          <w:numId w:val="7"/>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公司股东持有的首发前股份,可以在公司上市前托管在为公司提供首次公开发行上市保荐服务的保荐机构，并由保荐机构按照本所业务规则的规定，对股东减持首发前股份的交易委托进行监督管理。</w:t>
      </w:r>
    </w:p>
    <w:p>
      <w:pPr>
        <w:numPr>
          <w:ilvl w:val="2"/>
          <w:numId w:val="7"/>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hAnsi="黑体" w:eastAsia="仿宋_GB2312"/>
          <w:sz w:val="32"/>
          <w:szCs w:val="32"/>
        </w:rPr>
        <w:t>公司上市时未盈利的，在公司实现盈利前，控股股东、实际控制人自公司股票上市之日起3个完整会计年度内，不得减持首发前股份；自公司股票上市之日起第4个会计年度和第5</w:t>
      </w:r>
      <w:r>
        <w:rPr>
          <w:rFonts w:hint="eastAsia" w:ascii="仿宋_GB2312" w:eastAsia="仿宋_GB2312"/>
          <w:sz w:val="32"/>
          <w:szCs w:val="32"/>
        </w:rPr>
        <w:t>个会计年度内，每年减持的首发前股份不得超过公司股份总数的2%，并应当符合《减持细则》关于减持股份的相关规定。</w:t>
      </w:r>
    </w:p>
    <w:p>
      <w:pPr>
        <w:tabs>
          <w:tab w:val="left" w:pos="1560"/>
        </w:tabs>
        <w:autoSpaceDE w:val="0"/>
        <w:autoSpaceDN w:val="0"/>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公司上市时未盈利的，在公司实现盈利前，董事、监事、高级管理人员及核心技术人员自公司股票上市之日起3个完整会计年度内，不得减持首发前股份；在前述期间内离职的，应当继续遵守本款规定。</w:t>
      </w:r>
    </w:p>
    <w:p>
      <w:pPr>
        <w:tabs>
          <w:tab w:val="left" w:pos="1560"/>
        </w:tabs>
        <w:autoSpaceDE w:val="0"/>
        <w:autoSpaceDN w:val="0"/>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公司实现盈利后，前两款规定的股东可以自当年年度报告披露后次日起减持首发前股份，但应当遵守本节其他规定。</w:t>
      </w:r>
    </w:p>
    <w:p>
      <w:pPr>
        <w:numPr>
          <w:ilvl w:val="2"/>
          <w:numId w:val="7"/>
        </w:numPr>
        <w:tabs>
          <w:tab w:val="left" w:pos="0"/>
          <w:tab w:val="left" w:pos="1560"/>
        </w:tabs>
        <w:autoSpaceDE w:val="0"/>
        <w:autoSpaceDN w:val="0"/>
        <w:adjustRightInd w:val="0"/>
        <w:snapToGrid w:val="0"/>
        <w:spacing w:line="560" w:lineRule="exact"/>
        <w:ind w:left="0" w:firstLine="640" w:firstLineChars="200"/>
        <w:rPr>
          <w:rFonts w:ascii="仿宋_GB2312" w:hAnsi="宋体" w:eastAsia="仿宋_GB2312" w:cs="宋体"/>
          <w:sz w:val="32"/>
          <w:szCs w:val="32"/>
        </w:rPr>
      </w:pPr>
      <w:r>
        <w:rPr>
          <w:rFonts w:hint="eastAsia" w:ascii="仿宋_GB2312" w:hAnsi="黑体" w:eastAsia="仿宋_GB2312"/>
          <w:sz w:val="32"/>
          <w:szCs w:val="32"/>
        </w:rPr>
        <w:t>上市公司</w:t>
      </w:r>
      <w:r>
        <w:rPr>
          <w:rFonts w:hint="eastAsia" w:ascii="仿宋_GB2312" w:hAnsi="宋体" w:eastAsia="仿宋_GB2312"/>
          <w:sz w:val="32"/>
          <w:szCs w:val="32"/>
        </w:rPr>
        <w:t>控股股东、实际控制人减持本公司首发前股份的，应当遵守下列规定：</w:t>
      </w:r>
    </w:p>
    <w:p>
      <w:pPr>
        <w:tabs>
          <w:tab w:val="left" w:pos="1560"/>
        </w:tabs>
        <w:autoSpaceDE w:val="0"/>
        <w:autoSpaceDN w:val="0"/>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sz w:val="32"/>
          <w:szCs w:val="32"/>
        </w:rPr>
        <w:t>（一）自公司股票上市之日起36个月内，不得转让或者委托他人管理其直接和间接持有的首发前股份</w:t>
      </w:r>
      <w:r>
        <w:rPr>
          <w:rFonts w:hint="eastAsia" w:ascii="仿宋_GB2312" w:hAnsi="宋体" w:eastAsia="仿宋_GB2312" w:cs="宋体"/>
          <w:sz w:val="32"/>
          <w:szCs w:val="32"/>
        </w:rPr>
        <w:t>，也不得提议由上市公司回购该部分股份；</w:t>
      </w:r>
    </w:p>
    <w:p>
      <w:pPr>
        <w:tabs>
          <w:tab w:val="left" w:pos="1560"/>
        </w:tabs>
        <w:autoSpaceDE w:val="0"/>
        <w:autoSpaceDN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（二）法律法规、本规则以及本所业务规则对控股股东、实际控制人股份转让的其他规定。</w:t>
      </w:r>
    </w:p>
    <w:p>
      <w:pPr>
        <w:tabs>
          <w:tab w:val="left" w:pos="1560"/>
        </w:tabs>
        <w:autoSpaceDE w:val="0"/>
        <w:autoSpaceDN w:val="0"/>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sz w:val="32"/>
          <w:szCs w:val="32"/>
        </w:rPr>
        <w:t>发行人向本所申请其股票首次公开发行并上市时，控股股东、实际控制人应当承诺遵守前款规定。</w:t>
      </w:r>
      <w:r>
        <w:rPr>
          <w:rFonts w:hint="eastAsia" w:ascii="仿宋_GB2312" w:hAnsi="宋体" w:eastAsia="仿宋_GB2312" w:cs="宋体"/>
          <w:sz w:val="32"/>
          <w:szCs w:val="32"/>
        </w:rPr>
        <w:t xml:space="preserve"> </w:t>
      </w:r>
    </w:p>
    <w:p>
      <w:pPr>
        <w:tabs>
          <w:tab w:val="left" w:pos="1080"/>
        </w:tabs>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转让双方存在控制关系或者受同一实际控制人控制的，自发行人股票上市之日起12个月后，可豁免遵守本条第一款规定。</w:t>
      </w:r>
    </w:p>
    <w:p>
      <w:pPr>
        <w:numPr>
          <w:ilvl w:val="2"/>
          <w:numId w:val="7"/>
        </w:numPr>
        <w:tabs>
          <w:tab w:val="left" w:pos="0"/>
          <w:tab w:val="left" w:pos="1560"/>
        </w:tabs>
        <w:autoSpaceDE w:val="0"/>
        <w:autoSpaceDN w:val="0"/>
        <w:adjustRightInd w:val="0"/>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上市公司核心技术人员减持本公司首发前股份的，应当遵守下列规定：</w:t>
      </w:r>
    </w:p>
    <w:p>
      <w:pPr>
        <w:tabs>
          <w:tab w:val="left" w:pos="1560"/>
        </w:tabs>
        <w:autoSpaceDE w:val="0"/>
        <w:autoSpaceDN w:val="0"/>
        <w:adjustRightInd w:val="0"/>
        <w:snapToGrid w:val="0"/>
        <w:spacing w:line="560" w:lineRule="exact"/>
        <w:ind w:firstLine="640" w:firstLineChars="200"/>
        <w:rPr>
          <w:rFonts w:ascii="仿宋_GB2312" w:hAnsi="黑体" w:eastAsia="仿宋_GB2312"/>
          <w:sz w:val="32"/>
          <w:szCs w:val="32"/>
        </w:rPr>
      </w:pPr>
      <w:r>
        <w:rPr>
          <w:rFonts w:hint="eastAsia" w:ascii="仿宋_GB2312" w:hAnsi="宋体" w:eastAsia="仿宋_GB2312"/>
          <w:sz w:val="32"/>
          <w:szCs w:val="32"/>
        </w:rPr>
        <w:t>（一）</w:t>
      </w:r>
      <w:r>
        <w:rPr>
          <w:rFonts w:hint="eastAsia" w:ascii="仿宋_GB2312" w:hAnsi="黑体" w:eastAsia="仿宋_GB2312"/>
          <w:sz w:val="32"/>
          <w:szCs w:val="32"/>
        </w:rPr>
        <w:t>自公司股票上市之日起12个月内和离职后6个月内不得转让本公司首发前股份；</w:t>
      </w:r>
    </w:p>
    <w:p>
      <w:pPr>
        <w:tabs>
          <w:tab w:val="left" w:pos="1560"/>
        </w:tabs>
        <w:autoSpaceDE w:val="0"/>
        <w:autoSpaceDN w:val="0"/>
        <w:adjustRightInd w:val="0"/>
        <w:snapToGrid w:val="0"/>
        <w:spacing w:line="560" w:lineRule="exact"/>
        <w:ind w:firstLine="640" w:firstLineChars="200"/>
        <w:rPr>
          <w:rFonts w:ascii="仿宋_GB2312" w:hAnsi="宋体" w:eastAsia="仿宋_GB2312"/>
          <w:sz w:val="32"/>
          <w:szCs w:val="32"/>
        </w:rPr>
      </w:pPr>
      <w:r>
        <w:rPr>
          <w:rFonts w:hint="eastAsia" w:ascii="仿宋_GB2312" w:hAnsi="黑体" w:eastAsia="仿宋_GB2312"/>
          <w:sz w:val="32"/>
          <w:szCs w:val="32"/>
        </w:rPr>
        <w:t>（二）自所持首发前股份限售期满之日起4年内，每年转让的首发前股份不得</w:t>
      </w:r>
      <w:r>
        <w:rPr>
          <w:rFonts w:hint="eastAsia" w:ascii="仿宋_GB2312" w:hAnsi="宋体" w:eastAsia="仿宋_GB2312"/>
          <w:sz w:val="32"/>
          <w:szCs w:val="32"/>
        </w:rPr>
        <w:t>超过上市时所持公司首发前股份总数的25%，减持比例可以累积使用；</w:t>
      </w:r>
    </w:p>
    <w:p>
      <w:pPr>
        <w:tabs>
          <w:tab w:val="left" w:pos="1560"/>
        </w:tabs>
        <w:autoSpaceDE w:val="0"/>
        <w:autoSpaceDN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（三）法律法规、本规则以及本所业务规则对核心技术人员股份转让的其他规定。</w:t>
      </w:r>
    </w:p>
    <w:p>
      <w:pPr>
        <w:numPr>
          <w:ilvl w:val="2"/>
          <w:numId w:val="7"/>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hAnsi="黑体" w:eastAsia="仿宋_GB2312"/>
          <w:sz w:val="32"/>
          <w:szCs w:val="32"/>
        </w:rPr>
        <w:t>上市公司控股股东、实际控制人在限售期满后减持首发前股份的，应当明确并披露公司的控制权安排，保证上市公司持续稳定经营。</w:t>
      </w:r>
    </w:p>
    <w:p>
      <w:pPr>
        <w:numPr>
          <w:ilvl w:val="2"/>
          <w:numId w:val="7"/>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存在本规则第十二章第二节规定的重大违法情形，触及退市标准的，自相关行政处罚决定事先告知书或者司法裁判作出之日起至公司股票终止上市并摘牌，控股股东、实际控制人、董事、监事、高级管理人员不得减持公司股份。</w:t>
      </w:r>
    </w:p>
    <w:p>
      <w:pPr>
        <w:numPr>
          <w:ilvl w:val="2"/>
          <w:numId w:val="7"/>
        </w:numPr>
        <w:tabs>
          <w:tab w:val="left" w:pos="0"/>
          <w:tab w:val="left" w:pos="1560"/>
        </w:tabs>
        <w:autoSpaceDE w:val="0"/>
        <w:autoSpaceDN w:val="0"/>
        <w:adjustRightInd w:val="0"/>
        <w:snapToGrid w:val="0"/>
        <w:spacing w:line="560" w:lineRule="exact"/>
        <w:ind w:left="0" w:firstLine="640" w:firstLineChars="200"/>
        <w:rPr>
          <w:rFonts w:ascii="仿宋_GB2312" w:hAnsi="Calibri" w:eastAsia="仿宋_GB2312"/>
          <w:sz w:val="32"/>
          <w:szCs w:val="32"/>
        </w:rPr>
      </w:pPr>
      <w:r>
        <w:rPr>
          <w:rFonts w:hint="eastAsia" w:ascii="仿宋_GB2312" w:eastAsia="仿宋_GB2312"/>
          <w:sz w:val="32"/>
          <w:szCs w:val="32"/>
        </w:rPr>
        <w:t>上市公司控股股东、实际控制人减持股份，依照《减持细则》披露减持计划的，还应当在减持计划中披露上市公司是否存在重大负面事项、重大风险、控股股东或者实际控制人认为应当说明的事项，以及本所要求披露的其他内容</w:t>
      </w:r>
      <w:r>
        <w:rPr>
          <w:rFonts w:hint="eastAsia" w:ascii="仿宋_GB2312" w:hAnsi="Calibri" w:eastAsia="仿宋_GB2312"/>
          <w:sz w:val="32"/>
          <w:szCs w:val="32"/>
        </w:rPr>
        <w:t>。</w:t>
      </w:r>
    </w:p>
    <w:p>
      <w:pPr>
        <w:numPr>
          <w:ilvl w:val="2"/>
          <w:numId w:val="7"/>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上市公司股东所持股份应当与其一致行动人所持股份合并计算。一致行动人的认定适用《上市公司收购管理办法》的规定。</w:t>
      </w:r>
    </w:p>
    <w:p>
      <w:pPr>
        <w:tabs>
          <w:tab w:val="left" w:pos="156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上市公司第一大股东应当参照适用本节关于控股股东的规定。</w:t>
      </w:r>
    </w:p>
    <w:p>
      <w:pPr>
        <w:tabs>
          <w:tab w:val="left" w:pos="1560"/>
        </w:tabs>
        <w:autoSpaceDE w:val="0"/>
        <w:autoSpaceDN w:val="0"/>
        <w:adjustRightInd w:val="0"/>
        <w:snapToGrid w:val="0"/>
        <w:spacing w:line="560" w:lineRule="exact"/>
        <w:ind w:firstLine="640" w:firstLineChars="200"/>
        <w:rPr>
          <w:rFonts w:ascii="仿宋_GB2312" w:hAnsi="Calibri" w:eastAsia="仿宋_GB2312"/>
          <w:sz w:val="32"/>
          <w:szCs w:val="32"/>
        </w:rPr>
      </w:pPr>
      <w:r>
        <w:rPr>
          <w:rFonts w:hint="eastAsia" w:ascii="仿宋_GB2312" w:hAnsi="仿宋" w:eastAsia="仿宋_GB2312"/>
          <w:sz w:val="32"/>
          <w:szCs w:val="32"/>
        </w:rPr>
        <w:t>发行人的高级管理人员与核心员工设立的专项资产管理计划，通过</w:t>
      </w:r>
      <w:r>
        <w:rPr>
          <w:rFonts w:hint="eastAsia" w:ascii="仿宋_GB2312" w:eastAsia="仿宋_GB2312"/>
          <w:sz w:val="32"/>
          <w:szCs w:val="32"/>
        </w:rPr>
        <w:t>集中竞价、大宗交易等方式在二级市场</w:t>
      </w:r>
      <w:r>
        <w:rPr>
          <w:rFonts w:hint="eastAsia" w:ascii="仿宋_GB2312" w:hAnsi="Calibri" w:eastAsia="仿宋_GB2312"/>
          <w:sz w:val="32"/>
          <w:szCs w:val="32"/>
        </w:rPr>
        <w:t>减持</w:t>
      </w:r>
      <w:r>
        <w:rPr>
          <w:rFonts w:hint="eastAsia" w:ascii="仿宋_GB2312" w:hAnsi="仿宋" w:eastAsia="仿宋_GB2312"/>
          <w:sz w:val="32"/>
          <w:szCs w:val="32"/>
        </w:rPr>
        <w:t>参与战略配售获配股份的，应当按照本规则关于</w:t>
      </w:r>
      <w:r>
        <w:rPr>
          <w:rFonts w:hint="eastAsia" w:ascii="仿宋_GB2312" w:eastAsia="仿宋_GB2312"/>
          <w:sz w:val="32"/>
          <w:szCs w:val="32"/>
        </w:rPr>
        <w:t>上市公司股东</w:t>
      </w:r>
      <w:r>
        <w:rPr>
          <w:rFonts w:hint="eastAsia" w:ascii="仿宋_GB2312" w:hAnsi="Calibri" w:eastAsia="仿宋_GB2312"/>
          <w:sz w:val="32"/>
          <w:szCs w:val="32"/>
        </w:rPr>
        <w:t>减持首发前股份的规定履行相应信息披露义务。</w:t>
      </w:r>
    </w:p>
    <w:p>
      <w:pPr>
        <w:pStyle w:val="2"/>
      </w:pPr>
    </w:p>
    <w:p>
      <w:pPr>
        <w:pStyle w:val="81"/>
        <w:rPr>
          <w:b/>
        </w:rPr>
      </w:pPr>
      <w:bookmarkStart w:id="65" w:name="_Toc12094"/>
      <w:r>
        <w:rPr>
          <w:rFonts w:hint="eastAsia"/>
        </w:rPr>
        <w:t>持续督导</w:t>
      </w:r>
      <w:bookmarkEnd w:id="65"/>
    </w:p>
    <w:p>
      <w:pPr>
        <w:pStyle w:val="36"/>
        <w:numPr>
          <w:ilvl w:val="1"/>
          <w:numId w:val="1"/>
        </w:numPr>
        <w:ind w:left="0" w:firstLine="643"/>
      </w:pPr>
      <w:bookmarkStart w:id="66" w:name="_Toc530093692"/>
      <w:bookmarkEnd w:id="66"/>
      <w:bookmarkStart w:id="67" w:name="_Toc3749"/>
      <w:r>
        <w:rPr>
          <w:rFonts w:hint="eastAsia"/>
        </w:rPr>
        <w:t>一般规定</w:t>
      </w:r>
      <w:bookmarkEnd w:id="67"/>
    </w:p>
    <w:p>
      <w:pPr>
        <w:pStyle w:val="34"/>
        <w:numPr>
          <w:ilvl w:val="0"/>
          <w:numId w:val="8"/>
        </w:numPr>
        <w:tabs>
          <w:tab w:val="left" w:pos="1418"/>
        </w:tabs>
        <w:spacing w:line="560" w:lineRule="exact"/>
        <w:ind w:left="0" w:firstLine="640"/>
        <w:rPr>
          <w:rFonts w:ascii="仿宋_GB2312" w:hAnsi="宋体"/>
          <w:sz w:val="32"/>
          <w:szCs w:val="32"/>
        </w:rPr>
      </w:pPr>
      <w:r>
        <w:rPr>
          <w:rFonts w:hint="eastAsia" w:ascii="仿宋_GB2312" w:hAnsi="宋体"/>
          <w:sz w:val="32"/>
          <w:szCs w:val="32"/>
        </w:rPr>
        <w:t>为发行人首次公开发行股票提供保荐服务的保荐机构，应当对发行人进行持续督导。</w:t>
      </w:r>
    </w:p>
    <w:p>
      <w:pPr>
        <w:spacing w:line="560" w:lineRule="exact"/>
        <w:ind w:firstLine="640" w:firstLineChars="200"/>
        <w:rPr>
          <w:sz w:val="32"/>
          <w:szCs w:val="32"/>
        </w:rPr>
      </w:pPr>
      <w:r>
        <w:rPr>
          <w:rFonts w:hint="eastAsia" w:ascii="仿宋_GB2312" w:hAnsi="宋体" w:eastAsia="仿宋_GB2312"/>
          <w:sz w:val="32"/>
          <w:szCs w:val="32"/>
        </w:rPr>
        <w:t>上市公司发行股份和重大资产重组的持续督导事宜，按照中国证监会和本所有关规定执行。</w:t>
      </w:r>
    </w:p>
    <w:p>
      <w:pPr>
        <w:pStyle w:val="34"/>
        <w:numPr>
          <w:ilvl w:val="0"/>
          <w:numId w:val="8"/>
        </w:numPr>
        <w:tabs>
          <w:tab w:val="left" w:pos="1418"/>
        </w:tabs>
        <w:spacing w:line="560" w:lineRule="exact"/>
        <w:ind w:left="0" w:firstLine="640"/>
        <w:rPr>
          <w:rFonts w:ascii="仿宋_GB2312" w:hAnsi="宋体"/>
          <w:sz w:val="32"/>
          <w:szCs w:val="32"/>
        </w:rPr>
      </w:pPr>
      <w:r>
        <w:rPr>
          <w:rFonts w:hint="eastAsia" w:ascii="仿宋_GB2312" w:hAnsi="宋体"/>
          <w:sz w:val="32"/>
          <w:szCs w:val="32"/>
        </w:rPr>
        <w:t>首次公开发行股票并在科创板上市的，持续督导期间为股票上市当年剩余时间以及其后3个完整会计年度。持续督导期届满，如有尚未完结的保荐工作，保荐机构应当继续完成。</w:t>
      </w:r>
    </w:p>
    <w:p>
      <w:pPr>
        <w:tabs>
          <w:tab w:val="left" w:pos="1418"/>
        </w:tabs>
        <w:spacing w:line="560" w:lineRule="exact"/>
        <w:rPr>
          <w:rFonts w:ascii="仿宋_GB2312" w:hAnsi="宋体" w:eastAsia="仿宋_GB2312"/>
          <w:sz w:val="32"/>
          <w:szCs w:val="32"/>
        </w:rPr>
      </w:pPr>
      <w:r>
        <w:rPr>
          <w:rFonts w:hint="eastAsia" w:ascii="仿宋_GB2312" w:hAnsi="宋体" w:eastAsia="仿宋_GB2312"/>
          <w:sz w:val="32"/>
          <w:szCs w:val="32"/>
        </w:rPr>
        <w:t xml:space="preserve">    保荐机构应当与发行人、上市公司或相关方就持续督导期间的权利义务签订持续督导协议。</w:t>
      </w:r>
    </w:p>
    <w:p>
      <w:pPr>
        <w:pStyle w:val="34"/>
        <w:numPr>
          <w:ilvl w:val="0"/>
          <w:numId w:val="8"/>
        </w:numPr>
        <w:tabs>
          <w:tab w:val="left" w:pos="1418"/>
        </w:tabs>
        <w:spacing w:line="560" w:lineRule="exact"/>
        <w:ind w:left="0" w:firstLine="640"/>
        <w:rPr>
          <w:rFonts w:ascii="仿宋_GB2312" w:hAnsi="宋体"/>
          <w:sz w:val="32"/>
          <w:szCs w:val="32"/>
        </w:rPr>
      </w:pPr>
      <w:r>
        <w:rPr>
          <w:rFonts w:hint="eastAsia" w:ascii="仿宋_GB2312" w:hAnsi="黑体"/>
          <w:sz w:val="32"/>
          <w:szCs w:val="32"/>
        </w:rPr>
        <w:t>上市公司原则上不得变更履行持续督导职责的保荐机构。</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上市公司因再次发行股票另行聘请保荐机构的，另行聘请的保荐机构应当履行剩余期限的持续督导职责。</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保荐机构被撤销保荐资格的，上市公司应当在1个月内另行聘请保荐机构，履行剩余期限的持续督导职责。另行聘请的保荐机构持续督导的时间不得少于1个完整的会计年度。</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原保荐机构在履行持续督导职责期间未勤勉尽责的，其责任不因保荐机构的更换而免除或者终止。</w:t>
      </w:r>
    </w:p>
    <w:p>
      <w:pPr>
        <w:pStyle w:val="34"/>
        <w:numPr>
          <w:ilvl w:val="0"/>
          <w:numId w:val="8"/>
        </w:numPr>
        <w:tabs>
          <w:tab w:val="left" w:pos="1418"/>
        </w:tabs>
        <w:spacing w:line="560" w:lineRule="exact"/>
        <w:ind w:left="0" w:firstLine="640"/>
        <w:rPr>
          <w:rFonts w:ascii="仿宋_GB2312" w:hAnsi="宋体"/>
          <w:sz w:val="32"/>
          <w:szCs w:val="32"/>
        </w:rPr>
      </w:pPr>
      <w:r>
        <w:rPr>
          <w:rFonts w:hint="eastAsia" w:ascii="仿宋_GB2312" w:hAnsi="宋体"/>
          <w:sz w:val="32"/>
          <w:szCs w:val="32"/>
        </w:rPr>
        <w:t>保荐机构应当建立健全并有效执行持续督导业务管理制度。</w:t>
      </w:r>
    </w:p>
    <w:p>
      <w:pPr>
        <w:tabs>
          <w:tab w:val="left" w:pos="1418"/>
        </w:tabs>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保荐机构、保荐代表人应当制作并保存持续督导工作底稿。工作底稿应当真实、准确、完整地反映保荐机构、保荐代表人履行持续督导职责所开展的主要工作，并作为出具相关意见或者报告的基础。</w:t>
      </w:r>
    </w:p>
    <w:p>
      <w:pPr>
        <w:pStyle w:val="34"/>
        <w:numPr>
          <w:ilvl w:val="0"/>
          <w:numId w:val="8"/>
        </w:numPr>
        <w:tabs>
          <w:tab w:val="left" w:pos="1418"/>
        </w:tabs>
        <w:spacing w:line="560" w:lineRule="exact"/>
        <w:ind w:left="0" w:firstLine="640"/>
        <w:rPr>
          <w:rFonts w:ascii="仿宋_GB2312" w:hAnsi="宋体"/>
          <w:sz w:val="32"/>
          <w:szCs w:val="32"/>
        </w:rPr>
      </w:pPr>
      <w:r>
        <w:rPr>
          <w:rFonts w:hint="eastAsia" w:ascii="仿宋_GB2312" w:hAnsi="宋体"/>
          <w:sz w:val="32"/>
          <w:szCs w:val="32"/>
        </w:rPr>
        <w:t>保荐机构应当指定为发行人首次公开发行提供保荐服务的保荐代表人负责持续督导工作，并在上市公告书中予以披露。前述保荐代表人不能履职的，保荐机构应当另行指定履职能力相当的保荐代表人并披露。</w:t>
      </w:r>
    </w:p>
    <w:p>
      <w:pPr>
        <w:tabs>
          <w:tab w:val="left" w:pos="1418"/>
        </w:tabs>
        <w:spacing w:line="560" w:lineRule="exact"/>
        <w:rPr>
          <w:rFonts w:ascii="仿宋_GB2312" w:hAnsi="宋体" w:eastAsia="仿宋_GB2312"/>
          <w:sz w:val="32"/>
          <w:szCs w:val="32"/>
        </w:rPr>
      </w:pPr>
      <w:r>
        <w:rPr>
          <w:rFonts w:hint="eastAsia" w:ascii="仿宋_GB2312" w:hAnsi="宋体" w:eastAsia="仿宋_GB2312"/>
          <w:sz w:val="32"/>
          <w:szCs w:val="32"/>
        </w:rPr>
        <w:t xml:space="preserve">    保荐机构应当建立健全保荐代表人工作制度，</w:t>
      </w:r>
      <w:r>
        <w:rPr>
          <w:rFonts w:ascii="仿宋_GB2312" w:hAnsi="宋体" w:eastAsia="仿宋_GB2312"/>
          <w:sz w:val="32"/>
          <w:szCs w:val="32"/>
        </w:rPr>
        <w:t>明确</w:t>
      </w:r>
      <w:r>
        <w:rPr>
          <w:rFonts w:hint="eastAsia" w:ascii="仿宋_GB2312" w:hAnsi="宋体" w:eastAsia="仿宋_GB2312"/>
          <w:sz w:val="32"/>
          <w:szCs w:val="32"/>
        </w:rPr>
        <w:t>保荐代表人的</w:t>
      </w:r>
      <w:r>
        <w:rPr>
          <w:rFonts w:ascii="仿宋_GB2312" w:hAnsi="宋体" w:eastAsia="仿宋_GB2312"/>
          <w:sz w:val="32"/>
          <w:szCs w:val="32"/>
        </w:rPr>
        <w:t>工作要求和职责，建立有效的</w:t>
      </w:r>
      <w:r>
        <w:rPr>
          <w:rFonts w:hint="eastAsia" w:ascii="仿宋_GB2312" w:hAnsi="宋体" w:eastAsia="仿宋_GB2312"/>
          <w:sz w:val="32"/>
          <w:szCs w:val="32"/>
        </w:rPr>
        <w:t>考核、激励和</w:t>
      </w:r>
      <w:r>
        <w:rPr>
          <w:rFonts w:ascii="仿宋_GB2312" w:hAnsi="宋体" w:eastAsia="仿宋_GB2312"/>
          <w:sz w:val="32"/>
          <w:szCs w:val="32"/>
        </w:rPr>
        <w:t>约束机制。</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保荐代表人未按照本规则履行职责的，保荐机构应当督促保荐代表人履行职责。</w:t>
      </w:r>
    </w:p>
    <w:p>
      <w:pPr>
        <w:pStyle w:val="34"/>
        <w:numPr>
          <w:ilvl w:val="0"/>
          <w:numId w:val="8"/>
        </w:numPr>
        <w:tabs>
          <w:tab w:val="left" w:pos="1418"/>
        </w:tabs>
        <w:spacing w:line="560" w:lineRule="exact"/>
        <w:ind w:left="0" w:firstLine="640"/>
        <w:rPr>
          <w:rFonts w:ascii="仿宋_GB2312" w:hAnsi="宋体"/>
          <w:sz w:val="32"/>
          <w:szCs w:val="32"/>
        </w:rPr>
      </w:pPr>
      <w:r>
        <w:rPr>
          <w:rFonts w:hint="eastAsia" w:ascii="仿宋_GB2312" w:hAnsi="宋体"/>
          <w:sz w:val="32"/>
          <w:szCs w:val="32"/>
        </w:rPr>
        <w:t>保荐机构在持续督导期间，应当履行下列持续督导职责：</w:t>
      </w:r>
    </w:p>
    <w:p>
      <w:pPr>
        <w:pStyle w:val="34"/>
        <w:numPr>
          <w:ilvl w:val="3"/>
          <w:numId w:val="1"/>
        </w:numPr>
        <w:tabs>
          <w:tab w:val="left" w:pos="1418"/>
          <w:tab w:val="left" w:pos="1701"/>
        </w:tabs>
        <w:spacing w:line="560" w:lineRule="exact"/>
        <w:ind w:left="0" w:firstLine="709" w:firstLineChars="0"/>
        <w:rPr>
          <w:rFonts w:ascii="仿宋_GB2312" w:hAnsi="黑体"/>
          <w:sz w:val="32"/>
          <w:szCs w:val="32"/>
        </w:rPr>
      </w:pPr>
      <w:r>
        <w:rPr>
          <w:rFonts w:hint="eastAsia" w:ascii="仿宋_GB2312" w:hAnsi="黑体"/>
          <w:sz w:val="32"/>
          <w:szCs w:val="32"/>
        </w:rPr>
        <w:t>督促上市公司建立和执行信息披露、规范运作、承诺履行、分红回报等制度；</w:t>
      </w:r>
    </w:p>
    <w:p>
      <w:pPr>
        <w:pStyle w:val="34"/>
        <w:numPr>
          <w:ilvl w:val="3"/>
          <w:numId w:val="1"/>
        </w:numPr>
        <w:tabs>
          <w:tab w:val="left" w:pos="0"/>
          <w:tab w:val="left" w:pos="1418"/>
          <w:tab w:val="clear" w:pos="1980"/>
        </w:tabs>
        <w:spacing w:line="560" w:lineRule="exact"/>
        <w:ind w:left="0" w:firstLine="709" w:firstLineChars="0"/>
        <w:rPr>
          <w:rFonts w:ascii="仿宋_GB2312" w:hAnsi="黑体"/>
          <w:sz w:val="32"/>
          <w:szCs w:val="32"/>
        </w:rPr>
      </w:pPr>
      <w:r>
        <w:rPr>
          <w:rFonts w:hint="eastAsia" w:ascii="仿宋_GB2312" w:hAnsi="黑体"/>
          <w:sz w:val="32"/>
          <w:szCs w:val="32"/>
        </w:rPr>
        <w:t>识别并督促上市公司披露对公司持续经营能力、核心竞争力或者控制权稳定有重大不利影响的风险或者负面事项，并发表意见；</w:t>
      </w:r>
    </w:p>
    <w:p>
      <w:pPr>
        <w:pStyle w:val="34"/>
        <w:numPr>
          <w:ilvl w:val="3"/>
          <w:numId w:val="1"/>
        </w:numPr>
        <w:tabs>
          <w:tab w:val="left" w:pos="0"/>
          <w:tab w:val="left" w:pos="1418"/>
          <w:tab w:val="clear" w:pos="1980"/>
        </w:tabs>
        <w:spacing w:line="560" w:lineRule="exact"/>
        <w:ind w:left="0" w:firstLine="709" w:firstLineChars="0"/>
        <w:rPr>
          <w:rFonts w:ascii="仿宋_GB2312" w:hAnsi="黑体"/>
          <w:sz w:val="32"/>
          <w:szCs w:val="32"/>
        </w:rPr>
      </w:pPr>
      <w:r>
        <w:rPr>
          <w:rFonts w:hint="eastAsia" w:ascii="仿宋_GB2312" w:hAnsi="黑体"/>
          <w:sz w:val="32"/>
          <w:szCs w:val="32"/>
        </w:rPr>
        <w:t>关注上市公司股票交易异常波动情况，督促上市公司按照本规则规定履行核查、信息披露等义务；</w:t>
      </w:r>
    </w:p>
    <w:p>
      <w:pPr>
        <w:pStyle w:val="34"/>
        <w:numPr>
          <w:ilvl w:val="3"/>
          <w:numId w:val="1"/>
        </w:numPr>
        <w:tabs>
          <w:tab w:val="left" w:pos="0"/>
          <w:tab w:val="left" w:pos="1418"/>
          <w:tab w:val="clear" w:pos="1980"/>
        </w:tabs>
        <w:spacing w:line="560" w:lineRule="exact"/>
        <w:ind w:left="0" w:firstLine="709" w:firstLineChars="0"/>
        <w:rPr>
          <w:rFonts w:ascii="仿宋_GB2312" w:hAnsi="黑体"/>
          <w:sz w:val="32"/>
          <w:szCs w:val="32"/>
        </w:rPr>
      </w:pPr>
      <w:r>
        <w:rPr>
          <w:rFonts w:hint="eastAsia" w:ascii="仿宋_GB2312" w:hAnsi="黑体"/>
          <w:sz w:val="32"/>
          <w:szCs w:val="32"/>
        </w:rPr>
        <w:t>对上市公司存在的可能严重影响公司或者投资者合法权益的事项开展专项核查，并出具现场核查报告；</w:t>
      </w:r>
    </w:p>
    <w:p>
      <w:pPr>
        <w:pStyle w:val="34"/>
        <w:numPr>
          <w:ilvl w:val="3"/>
          <w:numId w:val="1"/>
        </w:numPr>
        <w:tabs>
          <w:tab w:val="left" w:pos="0"/>
          <w:tab w:val="left" w:pos="1418"/>
          <w:tab w:val="clear" w:pos="1980"/>
        </w:tabs>
        <w:spacing w:line="560" w:lineRule="exact"/>
        <w:ind w:left="0" w:firstLine="709" w:firstLineChars="0"/>
        <w:rPr>
          <w:rFonts w:ascii="仿宋_GB2312" w:hAnsi="黑体"/>
          <w:sz w:val="32"/>
          <w:szCs w:val="32"/>
        </w:rPr>
      </w:pPr>
      <w:r>
        <w:rPr>
          <w:rFonts w:hint="eastAsia" w:ascii="仿宋_GB2312" w:hAnsi="黑体"/>
          <w:sz w:val="32"/>
          <w:szCs w:val="32"/>
        </w:rPr>
        <w:t>定期出具并披露持续督导跟踪报告；</w:t>
      </w:r>
    </w:p>
    <w:p>
      <w:pPr>
        <w:pStyle w:val="34"/>
        <w:numPr>
          <w:ilvl w:val="3"/>
          <w:numId w:val="1"/>
        </w:numPr>
        <w:tabs>
          <w:tab w:val="left" w:pos="0"/>
          <w:tab w:val="left" w:pos="1418"/>
          <w:tab w:val="clear" w:pos="1980"/>
        </w:tabs>
        <w:spacing w:line="560" w:lineRule="exact"/>
        <w:ind w:left="0" w:firstLine="709" w:firstLineChars="0"/>
        <w:rPr>
          <w:rFonts w:ascii="仿宋_GB2312" w:hAnsi="黑体"/>
          <w:sz w:val="32"/>
          <w:szCs w:val="32"/>
        </w:rPr>
      </w:pPr>
      <w:r>
        <w:rPr>
          <w:rFonts w:hint="eastAsia" w:ascii="仿宋_GB2312"/>
          <w:sz w:val="32"/>
          <w:szCs w:val="32"/>
        </w:rPr>
        <w:t>中国证监会、本所规定或者保荐协议约定的其他职责</w:t>
      </w:r>
      <w:r>
        <w:rPr>
          <w:rFonts w:hint="eastAsia" w:ascii="仿宋_GB2312" w:hAnsi="黑体"/>
          <w:sz w:val="32"/>
          <w:szCs w:val="32"/>
        </w:rPr>
        <w:t>。</w:t>
      </w:r>
    </w:p>
    <w:p>
      <w:pPr>
        <w:tabs>
          <w:tab w:val="left" w:pos="1418"/>
        </w:tabs>
        <w:spacing w:line="560" w:lineRule="exact"/>
        <w:ind w:firstLine="640"/>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保荐机构</w:t>
      </w:r>
      <w:r>
        <w:rPr>
          <w:rFonts w:hint="eastAsia" w:ascii="仿宋_GB2312" w:hAnsi="宋体" w:eastAsia="仿宋_GB2312"/>
          <w:sz w:val="32"/>
          <w:szCs w:val="32"/>
        </w:rPr>
        <w:t>、保荐代表人</w:t>
      </w:r>
      <w:r>
        <w:rPr>
          <w:rFonts w:ascii="仿宋_GB2312" w:hAnsi="宋体" w:eastAsia="仿宋_GB2312"/>
          <w:sz w:val="32"/>
          <w:szCs w:val="32"/>
        </w:rPr>
        <w:t>应当针对</w:t>
      </w:r>
      <w:r>
        <w:rPr>
          <w:rFonts w:hint="eastAsia" w:ascii="仿宋_GB2312" w:hAnsi="宋体" w:eastAsia="仿宋_GB2312"/>
          <w:sz w:val="32"/>
          <w:szCs w:val="32"/>
        </w:rPr>
        <w:t>上市公司</w:t>
      </w:r>
      <w:r>
        <w:rPr>
          <w:rFonts w:ascii="仿宋_GB2312" w:hAnsi="宋体" w:eastAsia="仿宋_GB2312"/>
          <w:sz w:val="32"/>
          <w:szCs w:val="32"/>
        </w:rPr>
        <w:t>的具体情况，</w:t>
      </w:r>
      <w:r>
        <w:rPr>
          <w:rFonts w:hint="eastAsia" w:ascii="仿宋_GB2312" w:hAnsi="宋体" w:eastAsia="仿宋_GB2312"/>
          <w:sz w:val="32"/>
          <w:szCs w:val="32"/>
        </w:rPr>
        <w:t>制定履行各项持续督导职责的实施方案。</w:t>
      </w:r>
    </w:p>
    <w:p>
      <w:pPr>
        <w:pStyle w:val="34"/>
        <w:numPr>
          <w:ilvl w:val="0"/>
          <w:numId w:val="8"/>
        </w:numPr>
        <w:tabs>
          <w:tab w:val="left" w:pos="1418"/>
        </w:tabs>
        <w:spacing w:line="560" w:lineRule="exact"/>
        <w:ind w:left="0" w:firstLine="640"/>
        <w:rPr>
          <w:rFonts w:ascii="仿宋_GB2312" w:hAnsi="宋体"/>
          <w:sz w:val="32"/>
          <w:szCs w:val="32"/>
        </w:rPr>
      </w:pPr>
      <w:r>
        <w:rPr>
          <w:rFonts w:hint="eastAsia" w:ascii="仿宋_GB2312" w:hAnsi="宋体"/>
          <w:sz w:val="32"/>
          <w:szCs w:val="32"/>
        </w:rPr>
        <w:t>上市公司应当按照下列要求，积极配合保荐机构履行持续督导职责：</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（一）根据保荐机构和保荐代表人的要求，及时提供履行持续督导职责必需的相关信息；</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（二）发生应当披露的重大事项或者出现重大风险的，及时告知保荐机构和保荐代表人；</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（三）根据保荐机构和保荐代表人的督导意见，及时履行信息披露义务或者采取相应整改措施；</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（四）协助保荐机构和保荐代表人披露持续督导意见；</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（五）为保荐机构和保荐代表人履行持续督导职责提供其他必要的条件和便利。</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上市公司不配合保荐机构、保荐代表人持续督导工作的，保荐机构、保荐代表人应当督促公司改正，并及时报告本所。</w:t>
      </w:r>
    </w:p>
    <w:p>
      <w:pPr>
        <w:pStyle w:val="36"/>
        <w:numPr>
          <w:ilvl w:val="1"/>
          <w:numId w:val="1"/>
        </w:numPr>
        <w:ind w:left="0" w:firstLine="643"/>
      </w:pPr>
      <w:bookmarkStart w:id="68" w:name="_Toc1546"/>
      <w:r>
        <w:rPr>
          <w:rFonts w:hint="eastAsia"/>
        </w:rPr>
        <w:t>持续督导职责的履行</w:t>
      </w:r>
      <w:bookmarkEnd w:id="68"/>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宋体"/>
          <w:sz w:val="32"/>
          <w:szCs w:val="32"/>
        </w:rPr>
        <w:t>保荐机构、保荐代表人应当协助和督促上市公司建立相应的内部制度、决策程序及内控机制，以符合</w:t>
      </w:r>
      <w:bookmarkStart w:id="69" w:name="OLE_LINK6"/>
      <w:bookmarkStart w:id="70" w:name="OLE_LINK5"/>
      <w:r>
        <w:rPr>
          <w:rFonts w:hint="eastAsia" w:ascii="仿宋_GB2312" w:hAnsi="宋体"/>
          <w:sz w:val="32"/>
          <w:szCs w:val="32"/>
        </w:rPr>
        <w:t>法律法规和本规则</w:t>
      </w:r>
      <w:bookmarkEnd w:id="69"/>
      <w:bookmarkEnd w:id="70"/>
      <w:r>
        <w:rPr>
          <w:rFonts w:hint="eastAsia" w:ascii="仿宋_GB2312" w:hAnsi="宋体"/>
          <w:sz w:val="32"/>
          <w:szCs w:val="32"/>
        </w:rPr>
        <w:t>的要求，并确保上市公司及其控股股东、实际控制人、董事、监事和高级管理人员、核心技术人员知晓其在本规则下的各项义务。</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宋体"/>
          <w:sz w:val="32"/>
          <w:szCs w:val="32"/>
        </w:rPr>
        <w:t>保荐机构、保荐代表人应当持续督促上市公司充分披露投资者作出价值判断和投资决策所必需的信息，并确保信息披露真实、准确、完整、及时、公平。</w:t>
      </w:r>
    </w:p>
    <w:p>
      <w:pPr>
        <w:tabs>
          <w:tab w:val="left" w:pos="1418"/>
        </w:tabs>
        <w:spacing w:line="560" w:lineRule="exact"/>
        <w:ind w:firstLine="640"/>
        <w:rPr>
          <w:rFonts w:ascii="仿宋_GB2312" w:hAnsi="宋体" w:eastAsia="仿宋_GB2312"/>
          <w:sz w:val="32"/>
          <w:szCs w:val="32"/>
        </w:rPr>
      </w:pPr>
      <w:r>
        <w:rPr>
          <w:rFonts w:hint="eastAsia" w:ascii="仿宋_GB2312" w:hAnsi="宋体" w:eastAsia="仿宋_GB2312"/>
          <w:sz w:val="32"/>
          <w:szCs w:val="32"/>
        </w:rPr>
        <w:t>保荐机构、保荐代表人应当对上市公司制作信息披露公告文件提供必要的指导和协助，确保其信息披露内容简明易懂，语言浅白平实，具有可理解性。</w:t>
      </w:r>
    </w:p>
    <w:p>
      <w:pPr>
        <w:tabs>
          <w:tab w:val="left" w:pos="1418"/>
        </w:tabs>
        <w:spacing w:line="560" w:lineRule="exact"/>
        <w:ind w:firstLine="640"/>
        <w:rPr>
          <w:rFonts w:ascii="仿宋_GB2312" w:hAnsi="宋体" w:eastAsia="仿宋_GB2312"/>
          <w:sz w:val="32"/>
          <w:szCs w:val="32"/>
        </w:rPr>
      </w:pPr>
      <w:r>
        <w:rPr>
          <w:rFonts w:hint="eastAsia" w:ascii="仿宋_GB2312" w:hAnsi="宋体" w:eastAsia="仿宋_GB2312"/>
          <w:sz w:val="32"/>
          <w:szCs w:val="32"/>
        </w:rPr>
        <w:t>保荐机构、保荐代表人应当督促上市公司控股股东、实际控制人履行信息披露义务，告知并督促其不得要求或者协助上市公司隐瞒重要信息。</w:t>
      </w:r>
    </w:p>
    <w:p>
      <w:pPr>
        <w:pStyle w:val="34"/>
        <w:numPr>
          <w:ilvl w:val="0"/>
          <w:numId w:val="9"/>
        </w:numPr>
        <w:tabs>
          <w:tab w:val="left" w:pos="1418"/>
        </w:tabs>
        <w:spacing w:line="560" w:lineRule="exact"/>
        <w:ind w:left="0" w:firstLine="640"/>
        <w:rPr>
          <w:sz w:val="32"/>
          <w:szCs w:val="32"/>
        </w:rPr>
      </w:pPr>
      <w:r>
        <w:rPr>
          <w:rFonts w:hint="eastAsia" w:ascii="仿宋_GB2312" w:hAnsi="宋体"/>
          <w:sz w:val="32"/>
          <w:szCs w:val="32"/>
        </w:rPr>
        <w:t>上市公司或其控股股东、实际控制人作出承诺的，保荐机构、保荐代表人应当督促其对承诺事项的具体内容、履约方式及时间、履约能力分析、履约风险及对策、不能履约时的救济措施等方面进行充分信息披露。</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保荐机构、保荐代表人应当针对前款规定的承诺披露事项，持续跟进相关主体履行承诺的进展情况，督促相关主体及时、充分履行承诺。</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上市公司或其控股股东、实际控制人披露、履行或者变更承诺事项，不符合法律法规、本规则以及本所其他规定的，保荐机构和保荐代表人应当及时提出督导意见，并督促相关主体进行补正。</w:t>
      </w:r>
    </w:p>
    <w:p>
      <w:pPr>
        <w:pStyle w:val="34"/>
        <w:numPr>
          <w:ilvl w:val="0"/>
          <w:numId w:val="9"/>
        </w:numPr>
        <w:tabs>
          <w:tab w:val="left" w:pos="1418"/>
        </w:tabs>
        <w:spacing w:line="560" w:lineRule="exact"/>
        <w:ind w:left="0" w:firstLine="640"/>
        <w:rPr>
          <w:sz w:val="32"/>
          <w:szCs w:val="32"/>
        </w:rPr>
      </w:pPr>
      <w:r>
        <w:rPr>
          <w:rFonts w:hint="eastAsia" w:ascii="仿宋_GB2312" w:hAnsi="宋体"/>
          <w:sz w:val="32"/>
          <w:szCs w:val="32"/>
        </w:rPr>
        <w:t>保荐机构、保荐代表人应当督促上市公司积极回报投资者，建立健全并有效执行符合公司发展阶段的现金分红和股份回购制度。</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宋体"/>
          <w:sz w:val="32"/>
          <w:szCs w:val="32"/>
        </w:rPr>
        <w:t>保荐机构、保荐代表人应当持续关注上市公司运作，对上市公司及其业务有充分了解；通过日常沟通、定期回访、调阅资料、列席股东大会等方式，关注上市公司日常经营和股票交易情况，有效识别并督促上市公司披露重大风险或者重大负面事项。</w:t>
      </w:r>
    </w:p>
    <w:p>
      <w:pPr>
        <w:tabs>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保荐机构、保荐代表人应当核实上市公司重大风险披露是否真实、准确、完整。披露内容存在虚假记载、误导性陈述或者重大遗漏的，保荐机构、保荐代表人应当发表意见予以说明。</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宋体"/>
          <w:sz w:val="32"/>
          <w:szCs w:val="32"/>
        </w:rPr>
        <w:t>上市公司及相关信息披露义务人出现本章第3.2.7条、第3.2.8条和第3.2.9条规定事项的，保荐机构、保荐代表人应当督促公司严格履行信息披露义务，并于公司披露公告时，就信息披露是否真实、准确、完整及本章规定的其他内容发表意见并披露。</w:t>
      </w:r>
    </w:p>
    <w:p>
      <w:pPr>
        <w:tabs>
          <w:tab w:val="left" w:pos="1418"/>
        </w:tabs>
        <w:spacing w:line="560" w:lineRule="exact"/>
        <w:rPr>
          <w:rFonts w:ascii="仿宋_GB2312" w:hAnsi="宋体" w:eastAsia="仿宋_GB2312"/>
          <w:sz w:val="32"/>
          <w:szCs w:val="32"/>
        </w:rPr>
      </w:pPr>
      <w:r>
        <w:rPr>
          <w:rFonts w:hint="eastAsia" w:ascii="仿宋_GB2312" w:hAnsi="宋体" w:eastAsia="仿宋_GB2312"/>
          <w:sz w:val="32"/>
          <w:szCs w:val="32"/>
        </w:rPr>
        <w:t xml:space="preserve">    保荐机构、保荐代表人无法按时履行前款所述职责的，应当披露尚待核实的事项及预计发表意见的时间，并充分提示风险。</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宋体"/>
          <w:sz w:val="32"/>
          <w:szCs w:val="32"/>
        </w:rPr>
        <w:t>上市公司日常经营出现下列情形的，保荐机构、保荐代表人应当就相关事项对公司经营的影响以及是否存在其他未披露重大风险发表意见并披露：</w:t>
      </w:r>
    </w:p>
    <w:p>
      <w:pPr>
        <w:pStyle w:val="34"/>
        <w:numPr>
          <w:ilvl w:val="0"/>
          <w:numId w:val="10"/>
        </w:numPr>
        <w:tabs>
          <w:tab w:val="left" w:pos="709"/>
        </w:tabs>
        <w:spacing w:line="560" w:lineRule="exact"/>
        <w:ind w:left="0" w:firstLine="640"/>
        <w:rPr>
          <w:rFonts w:ascii="仿宋_GB2312" w:hAnsi="宋体"/>
          <w:sz w:val="32"/>
          <w:szCs w:val="32"/>
        </w:rPr>
      </w:pPr>
      <w:r>
        <w:rPr>
          <w:rFonts w:hint="eastAsia" w:ascii="仿宋_GB2312" w:hAnsi="宋体"/>
          <w:sz w:val="32"/>
          <w:szCs w:val="32"/>
        </w:rPr>
        <w:t>主要业务停滞或出现可能导致主要业务停滞的重大风险事件；</w:t>
      </w:r>
    </w:p>
    <w:p>
      <w:pPr>
        <w:pStyle w:val="34"/>
        <w:numPr>
          <w:ilvl w:val="0"/>
          <w:numId w:val="10"/>
        </w:numPr>
        <w:tabs>
          <w:tab w:val="left" w:pos="709"/>
        </w:tabs>
        <w:spacing w:line="560" w:lineRule="exact"/>
        <w:ind w:left="0" w:firstLine="640"/>
        <w:rPr>
          <w:rFonts w:ascii="仿宋_GB2312" w:hAnsi="宋体"/>
          <w:sz w:val="32"/>
          <w:szCs w:val="32"/>
        </w:rPr>
      </w:pPr>
      <w:r>
        <w:rPr>
          <w:rFonts w:hint="eastAsia" w:ascii="仿宋_GB2312"/>
          <w:sz w:val="32"/>
          <w:szCs w:val="32"/>
        </w:rPr>
        <w:t>资产被查封、扣押或冻结</w:t>
      </w:r>
      <w:r>
        <w:rPr>
          <w:rFonts w:hint="eastAsia" w:ascii="仿宋_GB2312" w:hAnsi="宋体"/>
          <w:sz w:val="32"/>
          <w:szCs w:val="32"/>
        </w:rPr>
        <w:t>；</w:t>
      </w:r>
    </w:p>
    <w:p>
      <w:pPr>
        <w:pStyle w:val="34"/>
        <w:numPr>
          <w:ilvl w:val="0"/>
          <w:numId w:val="10"/>
        </w:numPr>
        <w:tabs>
          <w:tab w:val="left" w:pos="709"/>
        </w:tabs>
        <w:spacing w:line="560" w:lineRule="exact"/>
        <w:ind w:left="0" w:firstLine="640"/>
        <w:rPr>
          <w:rFonts w:ascii="仿宋_GB2312" w:hAnsi="宋体"/>
          <w:sz w:val="32"/>
          <w:szCs w:val="32"/>
        </w:rPr>
      </w:pPr>
      <w:r>
        <w:rPr>
          <w:rFonts w:hint="eastAsia" w:ascii="仿宋_GB2312" w:hAnsi="宋体"/>
          <w:sz w:val="32"/>
          <w:szCs w:val="32"/>
        </w:rPr>
        <w:t>未能清偿到期债务；</w:t>
      </w:r>
    </w:p>
    <w:p>
      <w:pPr>
        <w:pStyle w:val="34"/>
        <w:numPr>
          <w:ilvl w:val="0"/>
          <w:numId w:val="10"/>
        </w:numPr>
        <w:tabs>
          <w:tab w:val="left" w:pos="709"/>
        </w:tabs>
        <w:spacing w:line="560" w:lineRule="exact"/>
        <w:ind w:left="0" w:firstLine="640"/>
        <w:rPr>
          <w:rFonts w:ascii="仿宋_GB2312" w:hAnsi="宋体"/>
          <w:sz w:val="32"/>
          <w:szCs w:val="32"/>
        </w:rPr>
      </w:pPr>
      <w:r>
        <w:rPr>
          <w:rFonts w:hint="eastAsia" w:ascii="仿宋_GB2312" w:hAnsi="宋体"/>
          <w:sz w:val="32"/>
          <w:szCs w:val="32"/>
        </w:rPr>
        <w:t>实际控制人、董事长、总经理、财务负责人或核心技术人员涉嫌犯罪被司法机关采取强制措施；</w:t>
      </w:r>
    </w:p>
    <w:p>
      <w:pPr>
        <w:pStyle w:val="34"/>
        <w:numPr>
          <w:ilvl w:val="0"/>
          <w:numId w:val="10"/>
        </w:numPr>
        <w:tabs>
          <w:tab w:val="left" w:pos="709"/>
        </w:tabs>
        <w:spacing w:line="560" w:lineRule="exact"/>
        <w:ind w:left="0" w:firstLine="640"/>
        <w:rPr>
          <w:rFonts w:ascii="仿宋_GB2312" w:hAnsi="宋体"/>
          <w:sz w:val="32"/>
          <w:szCs w:val="32"/>
        </w:rPr>
      </w:pPr>
      <w:r>
        <w:rPr>
          <w:rFonts w:hint="eastAsia" w:ascii="仿宋_GB2312" w:hAnsi="宋体"/>
          <w:sz w:val="32"/>
          <w:szCs w:val="32"/>
        </w:rPr>
        <w:t>涉及关联交易、为他人提供担保等重大事项；</w:t>
      </w:r>
    </w:p>
    <w:p>
      <w:pPr>
        <w:pStyle w:val="34"/>
        <w:numPr>
          <w:ilvl w:val="0"/>
          <w:numId w:val="10"/>
        </w:numPr>
        <w:tabs>
          <w:tab w:val="left" w:pos="709"/>
        </w:tabs>
        <w:spacing w:line="560" w:lineRule="exact"/>
        <w:ind w:left="0" w:firstLine="640"/>
        <w:rPr>
          <w:rFonts w:ascii="仿宋_GB2312" w:hAnsi="宋体"/>
          <w:sz w:val="32"/>
          <w:szCs w:val="32"/>
        </w:rPr>
      </w:pPr>
      <w:r>
        <w:rPr>
          <w:rFonts w:hint="eastAsia" w:ascii="仿宋_GB2312" w:hAnsi="宋体"/>
          <w:sz w:val="32"/>
          <w:szCs w:val="32"/>
        </w:rPr>
        <w:t>本所或者保荐机构认为应当发表意见的其他情形。</w:t>
      </w:r>
    </w:p>
    <w:p>
      <w:pPr>
        <w:pStyle w:val="34"/>
        <w:numPr>
          <w:ilvl w:val="0"/>
          <w:numId w:val="9"/>
        </w:numPr>
        <w:tabs>
          <w:tab w:val="left" w:pos="1418"/>
        </w:tabs>
        <w:spacing w:line="560" w:lineRule="exact"/>
        <w:ind w:left="0" w:firstLine="640"/>
        <w:rPr>
          <w:rFonts w:ascii="仿宋_GB2312" w:hAnsi="仿宋"/>
          <w:sz w:val="32"/>
          <w:szCs w:val="32"/>
        </w:rPr>
      </w:pPr>
      <w:r>
        <w:rPr>
          <w:rFonts w:hint="eastAsia" w:ascii="仿宋_GB2312" w:hAnsi="仿宋"/>
          <w:sz w:val="32"/>
          <w:szCs w:val="32"/>
        </w:rPr>
        <w:t>上市公司业务和技术出现下列情形的，保荐机构、保荐代表人应当就相关事项对公司核心竞争力和日常经营的影响，以及是否存在其他未披露重大风险发表意见并披露：</w:t>
      </w:r>
    </w:p>
    <w:p>
      <w:pPr>
        <w:pStyle w:val="34"/>
        <w:numPr>
          <w:ilvl w:val="0"/>
          <w:numId w:val="11"/>
        </w:numPr>
        <w:spacing w:line="560" w:lineRule="exact"/>
        <w:ind w:left="0" w:firstLine="640"/>
        <w:rPr>
          <w:rFonts w:ascii="仿宋_GB2312" w:hAnsi="Times New Roman"/>
          <w:sz w:val="32"/>
          <w:szCs w:val="32"/>
        </w:rPr>
      </w:pPr>
      <w:r>
        <w:rPr>
          <w:rFonts w:hint="eastAsia" w:ascii="仿宋_GB2312" w:hAnsi="Times New Roman"/>
          <w:sz w:val="32"/>
          <w:szCs w:val="32"/>
        </w:rPr>
        <w:t>主要原材料供应或者产品销售出现重大不利变化；</w:t>
      </w:r>
    </w:p>
    <w:p>
      <w:pPr>
        <w:pStyle w:val="34"/>
        <w:numPr>
          <w:ilvl w:val="0"/>
          <w:numId w:val="11"/>
        </w:numPr>
        <w:spacing w:line="560" w:lineRule="exact"/>
        <w:ind w:left="0" w:firstLine="640"/>
        <w:rPr>
          <w:rFonts w:ascii="仿宋_GB2312" w:hAnsi="Times New Roman"/>
          <w:sz w:val="32"/>
          <w:szCs w:val="32"/>
        </w:rPr>
      </w:pPr>
      <w:r>
        <w:rPr>
          <w:rFonts w:hint="eastAsia" w:ascii="仿宋_GB2312" w:hAnsi="Times New Roman"/>
          <w:sz w:val="32"/>
          <w:szCs w:val="32"/>
        </w:rPr>
        <w:t>核心技术人员离职；</w:t>
      </w:r>
    </w:p>
    <w:p>
      <w:pPr>
        <w:pStyle w:val="34"/>
        <w:numPr>
          <w:ilvl w:val="0"/>
          <w:numId w:val="11"/>
        </w:numPr>
        <w:spacing w:line="560" w:lineRule="exact"/>
        <w:ind w:left="0" w:firstLine="640"/>
        <w:rPr>
          <w:rFonts w:ascii="仿宋_GB2312" w:hAnsi="Times New Roman"/>
          <w:sz w:val="32"/>
          <w:szCs w:val="32"/>
        </w:rPr>
      </w:pPr>
      <w:r>
        <w:rPr>
          <w:rFonts w:hint="eastAsia" w:ascii="仿宋_GB2312" w:hAnsi="Times New Roman"/>
          <w:sz w:val="32"/>
          <w:szCs w:val="32"/>
        </w:rPr>
        <w:t>核心知识产权、特许经营权或者核心技术许可丧失、不能续期或者出现重大纠纷；</w:t>
      </w:r>
    </w:p>
    <w:p>
      <w:pPr>
        <w:pStyle w:val="34"/>
        <w:numPr>
          <w:ilvl w:val="0"/>
          <w:numId w:val="11"/>
        </w:numPr>
        <w:spacing w:line="560" w:lineRule="exact"/>
        <w:ind w:left="0" w:firstLine="640"/>
        <w:rPr>
          <w:rFonts w:ascii="仿宋_GB2312" w:hAnsi="Times New Roman"/>
          <w:sz w:val="32"/>
          <w:szCs w:val="32"/>
        </w:rPr>
      </w:pPr>
      <w:r>
        <w:rPr>
          <w:rFonts w:hint="eastAsia" w:ascii="仿宋_GB2312" w:hAnsi="Times New Roman"/>
          <w:sz w:val="32"/>
          <w:szCs w:val="32"/>
        </w:rPr>
        <w:t>主要产品研发失败；</w:t>
      </w:r>
    </w:p>
    <w:p>
      <w:pPr>
        <w:pStyle w:val="34"/>
        <w:numPr>
          <w:ilvl w:val="0"/>
          <w:numId w:val="11"/>
        </w:numPr>
        <w:spacing w:line="560" w:lineRule="exact"/>
        <w:ind w:left="0" w:firstLine="640"/>
        <w:rPr>
          <w:rFonts w:ascii="仿宋_GB2312" w:hAnsi="Times New Roman"/>
          <w:sz w:val="32"/>
          <w:szCs w:val="32"/>
        </w:rPr>
      </w:pPr>
      <w:r>
        <w:rPr>
          <w:rFonts w:hint="eastAsia" w:ascii="仿宋_GB2312" w:hAnsi="Times New Roman"/>
          <w:sz w:val="32"/>
          <w:szCs w:val="32"/>
        </w:rPr>
        <w:t>核心竞争力丧失竞争优势或者市场出现具有明显优势的竞争者；</w:t>
      </w:r>
    </w:p>
    <w:p>
      <w:pPr>
        <w:pStyle w:val="34"/>
        <w:numPr>
          <w:ilvl w:val="0"/>
          <w:numId w:val="11"/>
        </w:numPr>
        <w:spacing w:line="560" w:lineRule="exact"/>
        <w:ind w:left="0" w:firstLine="640"/>
        <w:rPr>
          <w:rFonts w:ascii="仿宋_GB2312" w:hAnsi="Times New Roman"/>
          <w:sz w:val="32"/>
          <w:szCs w:val="32"/>
        </w:rPr>
      </w:pPr>
      <w:r>
        <w:rPr>
          <w:rFonts w:hint="eastAsia" w:ascii="仿宋_GB2312" w:hAnsi="宋体"/>
          <w:sz w:val="32"/>
          <w:szCs w:val="32"/>
        </w:rPr>
        <w:t>本所或者保荐机构认为应当发表意见的其他情形</w:t>
      </w:r>
      <w:r>
        <w:rPr>
          <w:rFonts w:hint="eastAsia" w:ascii="仿宋_GB2312" w:hAnsi="Times New Roman"/>
          <w:sz w:val="32"/>
          <w:szCs w:val="32"/>
        </w:rPr>
        <w:t>。</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宋体"/>
          <w:sz w:val="32"/>
          <w:szCs w:val="32"/>
        </w:rPr>
        <w:t>控股股东、实际控制人及其一致行动人出现下列情形的，保荐机构、保荐代表人应当就相关事项对上市公司控制权稳定和日常经营的影响、是否存在侵害上市公司利益的情形以及其他未披露重大风险发表意见并披露：</w:t>
      </w:r>
    </w:p>
    <w:p>
      <w:pPr>
        <w:pStyle w:val="34"/>
        <w:numPr>
          <w:ilvl w:val="0"/>
          <w:numId w:val="12"/>
        </w:numPr>
        <w:tabs>
          <w:tab w:val="left" w:pos="709"/>
          <w:tab w:val="left" w:pos="851"/>
          <w:tab w:val="left" w:pos="993"/>
          <w:tab w:val="left" w:pos="1276"/>
        </w:tabs>
        <w:spacing w:line="560" w:lineRule="exact"/>
        <w:ind w:left="0" w:firstLine="640"/>
        <w:rPr>
          <w:rFonts w:ascii="仿宋_GB2312" w:hAnsi="宋体"/>
          <w:sz w:val="32"/>
          <w:szCs w:val="32"/>
        </w:rPr>
      </w:pPr>
      <w:r>
        <w:rPr>
          <w:rFonts w:hint="eastAsia" w:ascii="仿宋_GB2312" w:hAnsi="宋体"/>
          <w:sz w:val="32"/>
          <w:szCs w:val="32"/>
        </w:rPr>
        <w:t>所持上市公司股份被司法冻结；</w:t>
      </w:r>
    </w:p>
    <w:p>
      <w:pPr>
        <w:pStyle w:val="34"/>
        <w:numPr>
          <w:ilvl w:val="0"/>
          <w:numId w:val="12"/>
        </w:numPr>
        <w:tabs>
          <w:tab w:val="left" w:pos="709"/>
        </w:tabs>
        <w:spacing w:line="560" w:lineRule="exact"/>
        <w:ind w:left="0" w:firstLine="640"/>
        <w:rPr>
          <w:rFonts w:ascii="仿宋_GB2312" w:hAnsi="宋体"/>
          <w:sz w:val="32"/>
          <w:szCs w:val="32"/>
        </w:rPr>
      </w:pPr>
      <w:r>
        <w:rPr>
          <w:rFonts w:hint="eastAsia" w:ascii="仿宋_GB2312" w:hAnsi="宋体"/>
          <w:sz w:val="32"/>
          <w:szCs w:val="32"/>
        </w:rPr>
        <w:t>质押上市公司股份比例超过所持股份80%或者被强制平仓的；</w:t>
      </w:r>
    </w:p>
    <w:p>
      <w:pPr>
        <w:pStyle w:val="34"/>
        <w:numPr>
          <w:ilvl w:val="0"/>
          <w:numId w:val="12"/>
        </w:numPr>
        <w:tabs>
          <w:tab w:val="left" w:pos="709"/>
        </w:tabs>
        <w:spacing w:line="560" w:lineRule="exact"/>
        <w:ind w:left="0" w:firstLine="640"/>
        <w:rPr>
          <w:rFonts w:ascii="仿宋_GB2312" w:hAnsi="宋体"/>
          <w:sz w:val="32"/>
          <w:szCs w:val="32"/>
        </w:rPr>
      </w:pPr>
      <w:r>
        <w:rPr>
          <w:rFonts w:hint="eastAsia" w:ascii="仿宋_GB2312" w:hAnsi="宋体"/>
          <w:sz w:val="32"/>
          <w:szCs w:val="32"/>
        </w:rPr>
        <w:t>本所或者保荐机构认为应当发表意见的其他情形。</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仿宋_GB2312" w:cs="仿宋_GB2312"/>
          <w:sz w:val="32"/>
          <w:szCs w:val="32"/>
        </w:rPr>
        <w:t>上市公司股票交易出现严重异常波动的</w:t>
      </w:r>
      <w:r>
        <w:rPr>
          <w:rFonts w:hint="eastAsia" w:ascii="仿宋_GB2312"/>
          <w:sz w:val="32"/>
          <w:szCs w:val="32"/>
        </w:rPr>
        <w:t>，</w:t>
      </w:r>
      <w:r>
        <w:rPr>
          <w:rFonts w:hint="eastAsia" w:ascii="仿宋_GB2312" w:hAnsi="宋体"/>
          <w:sz w:val="32"/>
          <w:szCs w:val="32"/>
        </w:rPr>
        <w:t>保荐机构、保荐代表人应当督促上市公司及时按照本规则履行信息披露义务。</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仿宋_GB2312" w:cs="仿宋_GB2312"/>
          <w:sz w:val="32"/>
          <w:szCs w:val="32"/>
        </w:rPr>
        <w:t>保荐机构、保荐代表人应当督促控股股东、实际控制人、董事、监事、高级管理人员及核心技术人员履行其作出的股份减持承诺，关注前述主体减持公司股份是否合规、对上市公司的影响等情况。</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仿宋_GB2312" w:cs="仿宋_GB2312"/>
          <w:sz w:val="32"/>
          <w:szCs w:val="32"/>
        </w:rPr>
        <w:t>保荐机构、保荐代表人应当关注上市公司使用募集资金的情况，督促其合理使用募集资金并持续披露使用情况。</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宋体"/>
          <w:sz w:val="32"/>
          <w:szCs w:val="32"/>
        </w:rPr>
        <w:t>上市公司出现下列情形之一的，保荐机构、保荐代表人应当自知道或者应当知道之日起15日内进行专项现场核查：</w:t>
      </w:r>
    </w:p>
    <w:p>
      <w:pPr>
        <w:pStyle w:val="34"/>
        <w:numPr>
          <w:ilvl w:val="0"/>
          <w:numId w:val="13"/>
        </w:numPr>
        <w:tabs>
          <w:tab w:val="left" w:pos="1418"/>
        </w:tabs>
        <w:spacing w:line="560" w:lineRule="exact"/>
        <w:ind w:left="0" w:firstLine="640"/>
        <w:rPr>
          <w:rFonts w:ascii="仿宋_GB2312" w:hAnsi="宋体"/>
          <w:sz w:val="32"/>
          <w:szCs w:val="32"/>
        </w:rPr>
      </w:pPr>
      <w:r>
        <w:rPr>
          <w:rFonts w:hint="eastAsia" w:ascii="仿宋_GB2312" w:hAnsi="宋体"/>
          <w:sz w:val="32"/>
          <w:szCs w:val="32"/>
        </w:rPr>
        <w:t>存在重大财务造假嫌疑；</w:t>
      </w:r>
    </w:p>
    <w:p>
      <w:pPr>
        <w:pStyle w:val="34"/>
        <w:numPr>
          <w:ilvl w:val="0"/>
          <w:numId w:val="13"/>
        </w:numPr>
        <w:tabs>
          <w:tab w:val="left" w:pos="1418"/>
        </w:tabs>
        <w:spacing w:line="560" w:lineRule="exact"/>
        <w:ind w:left="0" w:firstLine="640"/>
        <w:rPr>
          <w:rFonts w:ascii="仿宋_GB2312" w:hAnsi="宋体"/>
          <w:sz w:val="32"/>
          <w:szCs w:val="32"/>
        </w:rPr>
      </w:pPr>
      <w:r>
        <w:rPr>
          <w:rFonts w:hint="eastAsia" w:ascii="仿宋_GB2312" w:hAnsi="宋体"/>
          <w:sz w:val="32"/>
          <w:szCs w:val="32"/>
        </w:rPr>
        <w:t>控股股东、实际控制人、董事、监事或者高级管理人员涉嫌侵占上市公司利益；</w:t>
      </w:r>
    </w:p>
    <w:p>
      <w:pPr>
        <w:pStyle w:val="34"/>
        <w:numPr>
          <w:ilvl w:val="0"/>
          <w:numId w:val="13"/>
        </w:numPr>
        <w:tabs>
          <w:tab w:val="left" w:pos="1418"/>
        </w:tabs>
        <w:spacing w:line="560" w:lineRule="exact"/>
        <w:ind w:left="0" w:firstLine="640"/>
        <w:rPr>
          <w:rFonts w:ascii="仿宋_GB2312" w:hAnsi="宋体"/>
          <w:sz w:val="32"/>
          <w:szCs w:val="32"/>
        </w:rPr>
      </w:pPr>
      <w:r>
        <w:rPr>
          <w:rFonts w:hint="eastAsia" w:ascii="仿宋_GB2312" w:hAnsi="宋体"/>
          <w:sz w:val="32"/>
          <w:szCs w:val="32"/>
        </w:rPr>
        <w:t>可能存在重大违规担保；</w:t>
      </w:r>
    </w:p>
    <w:p>
      <w:pPr>
        <w:pStyle w:val="34"/>
        <w:numPr>
          <w:ilvl w:val="0"/>
          <w:numId w:val="13"/>
        </w:numPr>
        <w:tabs>
          <w:tab w:val="left" w:pos="1418"/>
        </w:tabs>
        <w:spacing w:line="560" w:lineRule="exact"/>
        <w:ind w:left="0" w:firstLine="640"/>
        <w:rPr>
          <w:rFonts w:ascii="仿宋_GB2312" w:hAnsi="宋体"/>
          <w:sz w:val="32"/>
          <w:szCs w:val="32"/>
        </w:rPr>
      </w:pPr>
      <w:r>
        <w:rPr>
          <w:rFonts w:hint="eastAsia" w:ascii="仿宋_GB2312" w:hAnsi="宋体"/>
          <w:sz w:val="32"/>
          <w:szCs w:val="32"/>
        </w:rPr>
        <w:t>资金往来或者现金流存在重大异常；</w:t>
      </w:r>
    </w:p>
    <w:p>
      <w:pPr>
        <w:pStyle w:val="34"/>
        <w:numPr>
          <w:ilvl w:val="0"/>
          <w:numId w:val="13"/>
        </w:numPr>
        <w:tabs>
          <w:tab w:val="left" w:pos="1418"/>
        </w:tabs>
        <w:spacing w:line="560" w:lineRule="exact"/>
        <w:ind w:left="0" w:firstLine="640"/>
        <w:rPr>
          <w:rFonts w:ascii="仿宋_GB2312" w:hAnsi="宋体"/>
          <w:sz w:val="32"/>
          <w:szCs w:val="32"/>
        </w:rPr>
      </w:pPr>
      <w:r>
        <w:rPr>
          <w:rFonts w:hint="eastAsia" w:ascii="仿宋_GB2312" w:hAnsi="宋体"/>
          <w:sz w:val="32"/>
          <w:szCs w:val="32"/>
        </w:rPr>
        <w:t>本所或者保荐机构认为应当进行现场核查的其他事项。</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宋体"/>
          <w:sz w:val="32"/>
          <w:szCs w:val="32"/>
        </w:rPr>
        <w:t>保荐机构进行现场核查的，应当就核查情况、提请上市公司及投资者关注的问题、本次现场核查结论等事项出具现场核查报告，并在现场核查结束后15个交易日内披露。</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宋体"/>
          <w:sz w:val="32"/>
          <w:szCs w:val="32"/>
        </w:rPr>
        <w:t>保荐机构应当在上市公司年度报告、半年度报告披露之日起1</w:t>
      </w:r>
      <w:r>
        <w:rPr>
          <w:rFonts w:ascii="仿宋_GB2312" w:hAnsi="宋体"/>
          <w:sz w:val="32"/>
          <w:szCs w:val="32"/>
        </w:rPr>
        <w:t>5</w:t>
      </w:r>
      <w:r>
        <w:rPr>
          <w:rFonts w:hint="eastAsia" w:ascii="仿宋_GB2312" w:hAnsi="宋体"/>
          <w:sz w:val="32"/>
          <w:szCs w:val="32"/>
        </w:rPr>
        <w:t>个交易日内，披露包括下列内容的持续督导跟踪报告：</w:t>
      </w:r>
    </w:p>
    <w:p>
      <w:pPr>
        <w:pStyle w:val="34"/>
        <w:numPr>
          <w:ilvl w:val="0"/>
          <w:numId w:val="14"/>
        </w:numPr>
        <w:tabs>
          <w:tab w:val="left" w:pos="1418"/>
          <w:tab w:val="left" w:pos="1560"/>
        </w:tabs>
        <w:spacing w:line="560" w:lineRule="exact"/>
        <w:ind w:left="0" w:firstLine="640"/>
        <w:rPr>
          <w:rFonts w:ascii="仿宋_GB2312" w:hAnsi="宋体"/>
          <w:sz w:val="32"/>
          <w:szCs w:val="32"/>
        </w:rPr>
      </w:pPr>
      <w:r>
        <w:rPr>
          <w:rFonts w:hint="eastAsia" w:ascii="仿宋_GB2312" w:hAnsi="宋体"/>
          <w:sz w:val="32"/>
          <w:szCs w:val="32"/>
        </w:rPr>
        <w:t>保荐机构和保荐代表人发现的问题及整改情况；</w:t>
      </w:r>
    </w:p>
    <w:p>
      <w:pPr>
        <w:pStyle w:val="34"/>
        <w:numPr>
          <w:ilvl w:val="0"/>
          <w:numId w:val="14"/>
        </w:numPr>
        <w:tabs>
          <w:tab w:val="left" w:pos="1418"/>
          <w:tab w:val="left" w:pos="1560"/>
        </w:tabs>
        <w:spacing w:line="560" w:lineRule="exact"/>
        <w:ind w:left="0" w:firstLine="640"/>
        <w:rPr>
          <w:rFonts w:ascii="仿宋_GB2312" w:hAnsi="宋体"/>
          <w:sz w:val="32"/>
          <w:szCs w:val="32"/>
        </w:rPr>
      </w:pPr>
      <w:r>
        <w:rPr>
          <w:rFonts w:hint="eastAsia" w:ascii="仿宋_GB2312" w:hAnsi="宋体"/>
          <w:sz w:val="32"/>
          <w:szCs w:val="32"/>
        </w:rPr>
        <w:t>重大风险事项；</w:t>
      </w:r>
    </w:p>
    <w:p>
      <w:pPr>
        <w:pStyle w:val="34"/>
        <w:numPr>
          <w:ilvl w:val="0"/>
          <w:numId w:val="14"/>
        </w:numPr>
        <w:tabs>
          <w:tab w:val="left" w:pos="1418"/>
          <w:tab w:val="left" w:pos="1560"/>
        </w:tabs>
        <w:spacing w:line="560" w:lineRule="exact"/>
        <w:ind w:left="0" w:firstLine="640"/>
        <w:rPr>
          <w:rFonts w:ascii="仿宋_GB2312" w:hAnsi="宋体"/>
          <w:sz w:val="32"/>
          <w:szCs w:val="32"/>
        </w:rPr>
      </w:pPr>
      <w:r>
        <w:rPr>
          <w:rFonts w:ascii="仿宋_GB2312" w:hAnsi="宋体"/>
          <w:sz w:val="32"/>
          <w:szCs w:val="32"/>
        </w:rPr>
        <w:t>重大违规事项</w:t>
      </w:r>
      <w:r>
        <w:rPr>
          <w:rFonts w:hint="eastAsia" w:ascii="仿宋_GB2312" w:hAnsi="宋体"/>
          <w:sz w:val="32"/>
          <w:szCs w:val="32"/>
        </w:rPr>
        <w:t>；</w:t>
      </w:r>
    </w:p>
    <w:p>
      <w:pPr>
        <w:pStyle w:val="34"/>
        <w:numPr>
          <w:ilvl w:val="0"/>
          <w:numId w:val="14"/>
        </w:numPr>
        <w:tabs>
          <w:tab w:val="left" w:pos="1418"/>
          <w:tab w:val="left" w:pos="1560"/>
        </w:tabs>
        <w:spacing w:line="560" w:lineRule="exact"/>
        <w:ind w:left="0" w:firstLine="640"/>
        <w:rPr>
          <w:rFonts w:ascii="仿宋_GB2312" w:hAnsi="宋体"/>
          <w:sz w:val="32"/>
          <w:szCs w:val="32"/>
        </w:rPr>
      </w:pPr>
      <w:r>
        <w:rPr>
          <w:rFonts w:hint="eastAsia" w:ascii="仿宋_GB2312" w:hAnsi="宋体"/>
          <w:sz w:val="32"/>
          <w:szCs w:val="32"/>
        </w:rPr>
        <w:t>主要财务指标的变动原因及合理性；</w:t>
      </w:r>
    </w:p>
    <w:p>
      <w:pPr>
        <w:pStyle w:val="34"/>
        <w:numPr>
          <w:ilvl w:val="0"/>
          <w:numId w:val="14"/>
        </w:numPr>
        <w:tabs>
          <w:tab w:val="left" w:pos="1418"/>
          <w:tab w:val="left" w:pos="1560"/>
        </w:tabs>
        <w:spacing w:line="560" w:lineRule="exact"/>
        <w:ind w:left="0" w:firstLine="640"/>
        <w:rPr>
          <w:rFonts w:ascii="仿宋_GB2312" w:hAnsi="宋体"/>
          <w:sz w:val="32"/>
          <w:szCs w:val="32"/>
        </w:rPr>
      </w:pPr>
      <w:r>
        <w:rPr>
          <w:rFonts w:hint="eastAsia" w:ascii="仿宋_GB2312" w:hAnsi="宋体"/>
          <w:sz w:val="32"/>
          <w:szCs w:val="32"/>
        </w:rPr>
        <w:t>核心竞争力的变化情况；</w:t>
      </w:r>
    </w:p>
    <w:p>
      <w:pPr>
        <w:pStyle w:val="34"/>
        <w:numPr>
          <w:ilvl w:val="0"/>
          <w:numId w:val="14"/>
        </w:numPr>
        <w:tabs>
          <w:tab w:val="left" w:pos="1418"/>
          <w:tab w:val="left" w:pos="1560"/>
        </w:tabs>
        <w:spacing w:line="560" w:lineRule="exact"/>
        <w:ind w:left="0" w:firstLine="640"/>
        <w:rPr>
          <w:rFonts w:ascii="仿宋_GB2312" w:hAnsi="宋体"/>
          <w:sz w:val="32"/>
          <w:szCs w:val="32"/>
        </w:rPr>
      </w:pPr>
      <w:r>
        <w:rPr>
          <w:rFonts w:hint="eastAsia" w:ascii="仿宋_GB2312" w:hAnsi="宋体"/>
          <w:sz w:val="32"/>
          <w:szCs w:val="32"/>
        </w:rPr>
        <w:t>研发支出变化及研发进展；</w:t>
      </w:r>
    </w:p>
    <w:p>
      <w:pPr>
        <w:pStyle w:val="34"/>
        <w:numPr>
          <w:ilvl w:val="0"/>
          <w:numId w:val="14"/>
        </w:numPr>
        <w:tabs>
          <w:tab w:val="left" w:pos="1418"/>
          <w:tab w:val="left" w:pos="1560"/>
        </w:tabs>
        <w:spacing w:line="560" w:lineRule="exact"/>
        <w:ind w:left="0" w:firstLine="640"/>
        <w:rPr>
          <w:rFonts w:ascii="仿宋_GB2312" w:hAnsi="宋体"/>
          <w:sz w:val="32"/>
          <w:szCs w:val="32"/>
        </w:rPr>
      </w:pPr>
      <w:r>
        <w:rPr>
          <w:rFonts w:hint="eastAsia" w:ascii="仿宋_GB2312" w:hAnsi="宋体"/>
          <w:sz w:val="32"/>
          <w:szCs w:val="32"/>
        </w:rPr>
        <w:t>新增业务进展是否与前期信息披露一致（如有）；</w:t>
      </w:r>
    </w:p>
    <w:p>
      <w:pPr>
        <w:pStyle w:val="34"/>
        <w:numPr>
          <w:ilvl w:val="0"/>
          <w:numId w:val="14"/>
        </w:numPr>
        <w:tabs>
          <w:tab w:val="left" w:pos="1418"/>
          <w:tab w:val="left" w:pos="1560"/>
        </w:tabs>
        <w:spacing w:line="560" w:lineRule="exact"/>
        <w:ind w:left="0" w:firstLine="640"/>
        <w:rPr>
          <w:rFonts w:ascii="仿宋_GB2312" w:hAnsi="宋体"/>
          <w:sz w:val="32"/>
          <w:szCs w:val="32"/>
        </w:rPr>
      </w:pPr>
      <w:r>
        <w:rPr>
          <w:rFonts w:hint="eastAsia" w:ascii="仿宋_GB2312" w:hAnsi="宋体"/>
          <w:sz w:val="32"/>
          <w:szCs w:val="32"/>
        </w:rPr>
        <w:t>募集资金的使用情况及是否合规；</w:t>
      </w:r>
    </w:p>
    <w:p>
      <w:pPr>
        <w:pStyle w:val="34"/>
        <w:numPr>
          <w:ilvl w:val="0"/>
          <w:numId w:val="14"/>
        </w:numPr>
        <w:tabs>
          <w:tab w:val="left" w:pos="1418"/>
          <w:tab w:val="left" w:pos="1560"/>
        </w:tabs>
        <w:spacing w:line="560" w:lineRule="exact"/>
        <w:ind w:left="0" w:firstLine="640"/>
        <w:rPr>
          <w:rFonts w:ascii="仿宋_GB2312" w:hAnsi="宋体"/>
          <w:sz w:val="32"/>
          <w:szCs w:val="32"/>
        </w:rPr>
      </w:pPr>
      <w:r>
        <w:rPr>
          <w:rFonts w:hint="eastAsia" w:ascii="仿宋_GB2312" w:hAnsi="宋体"/>
          <w:sz w:val="32"/>
          <w:szCs w:val="32"/>
        </w:rPr>
        <w:t>控股股东、实际控制人、董事、监事和高级管理人员的持股、质押、冻结及减持情况；</w:t>
      </w:r>
    </w:p>
    <w:p>
      <w:pPr>
        <w:pStyle w:val="34"/>
        <w:numPr>
          <w:ilvl w:val="0"/>
          <w:numId w:val="14"/>
        </w:numPr>
        <w:tabs>
          <w:tab w:val="left" w:pos="1418"/>
          <w:tab w:val="left" w:pos="1560"/>
        </w:tabs>
        <w:spacing w:line="560" w:lineRule="exact"/>
        <w:ind w:left="0" w:firstLine="640"/>
        <w:rPr>
          <w:rFonts w:ascii="仿宋_GB2312" w:hAnsi="宋体"/>
          <w:sz w:val="32"/>
          <w:szCs w:val="32"/>
        </w:rPr>
      </w:pPr>
      <w:r>
        <w:rPr>
          <w:rFonts w:hint="eastAsia" w:ascii="仿宋_GB2312" w:hAnsi="宋体"/>
          <w:sz w:val="32"/>
          <w:szCs w:val="32"/>
        </w:rPr>
        <w:t>本所或者保荐机构认为应当发表意见的其他事项。</w:t>
      </w:r>
    </w:p>
    <w:p>
      <w:pPr>
        <w:tabs>
          <w:tab w:val="left" w:pos="1418"/>
          <w:tab w:val="left" w:pos="1560"/>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上市公司未实现盈利、业绩由盈转亏、营业收入与上年同期相比下降50%以上或者其他主要财务指标异常的，保荐机构应当在持续督导跟踪报告显著位置就上市公司是否存在重大风险发表结论性意见。</w:t>
      </w:r>
    </w:p>
    <w:p>
      <w:pPr>
        <w:pStyle w:val="34"/>
        <w:numPr>
          <w:ilvl w:val="0"/>
          <w:numId w:val="9"/>
        </w:numPr>
        <w:tabs>
          <w:tab w:val="left" w:pos="1418"/>
        </w:tabs>
        <w:spacing w:line="560" w:lineRule="exact"/>
        <w:ind w:left="0" w:firstLine="640"/>
        <w:rPr>
          <w:rFonts w:ascii="仿宋_GB2312" w:hAnsi="宋体"/>
          <w:sz w:val="32"/>
          <w:szCs w:val="32"/>
        </w:rPr>
      </w:pPr>
      <w:r>
        <w:rPr>
          <w:rFonts w:hint="eastAsia" w:ascii="仿宋_GB2312" w:hAnsi="黑体"/>
          <w:sz w:val="32"/>
          <w:szCs w:val="32"/>
        </w:rPr>
        <w:t>持续督导工作结束后，保荐机构应当在上市公司年度报告披露之日起的10个交易日内依据中国证监会和本所相关规定，向中国证监会和本所报送保荐总结报告书并披露。</w:t>
      </w:r>
    </w:p>
    <w:p>
      <w:pPr>
        <w:tabs>
          <w:tab w:val="left" w:pos="1418"/>
        </w:tabs>
        <w:spacing w:line="560" w:lineRule="exact"/>
        <w:ind w:firstLine="640" w:firstLineChars="200"/>
        <w:rPr>
          <w:rFonts w:ascii="仿宋_GB2312" w:hAnsi="宋体" w:eastAsia="仿宋_GB2312"/>
          <w:sz w:val="32"/>
          <w:szCs w:val="32"/>
        </w:rPr>
      </w:pPr>
    </w:p>
    <w:p>
      <w:pPr>
        <w:pStyle w:val="81"/>
        <w:rPr>
          <w:b/>
        </w:rPr>
      </w:pPr>
      <w:bookmarkStart w:id="71" w:name="_Toc26877"/>
      <w:r>
        <w:rPr>
          <w:rFonts w:hint="eastAsia"/>
        </w:rPr>
        <w:t>内部治理</w:t>
      </w:r>
      <w:bookmarkEnd w:id="71"/>
    </w:p>
    <w:p>
      <w:pPr>
        <w:pStyle w:val="36"/>
        <w:numPr>
          <w:ilvl w:val="1"/>
          <w:numId w:val="1"/>
        </w:numPr>
        <w:ind w:left="0" w:firstLine="643"/>
      </w:pPr>
      <w:bookmarkStart w:id="72" w:name="_Toc1773"/>
      <w:r>
        <w:rPr>
          <w:rFonts w:hint="eastAsia"/>
        </w:rPr>
        <w:t>控股股东及实际控制人</w:t>
      </w:r>
      <w:bookmarkEnd w:id="72"/>
    </w:p>
    <w:p>
      <w:pPr>
        <w:numPr>
          <w:ilvl w:val="1"/>
          <w:numId w:val="15"/>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上市公司控股股东、实际控制人应当诚实守信，规范行使权利，严格履行承诺，维护上市公司和全体股东的共同利益。</w:t>
      </w:r>
    </w:p>
    <w:p>
      <w:pPr>
        <w:tabs>
          <w:tab w:val="left" w:pos="0"/>
          <w:tab w:val="left" w:pos="156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控股股东、实际控制人应当履行信息披露义务，并保证披露信息的真实、准确、完整、及时、公平，不得有虚假记载、误导性陈述或者重大遗漏。</w:t>
      </w:r>
    </w:p>
    <w:p>
      <w:pPr>
        <w:numPr>
          <w:ilvl w:val="1"/>
          <w:numId w:val="15"/>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控股股东、实际控制人应当在公司股票首次上市前或者控制权变更完成后1个月内，正式签署并向本所提交《控股股东、实际控制人声明及承诺书》。声明事项发生重大变化的，应当在5个交易日内更新并提交。</w:t>
      </w:r>
    </w:p>
    <w:p>
      <w:pPr>
        <w:tabs>
          <w:tab w:val="left" w:pos="0"/>
          <w:tab w:val="left" w:pos="1560"/>
        </w:tabs>
        <w:autoSpaceDE w:val="0"/>
        <w:autoSpaceDN w:val="0"/>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签署《控股股东、实际控制人声明及承诺书》时，应当由律师见证。</w:t>
      </w:r>
    </w:p>
    <w:p>
      <w:pPr>
        <w:numPr>
          <w:ilvl w:val="1"/>
          <w:numId w:val="15"/>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上市公司控股股东、实际控制人应当维护上市公司独立性，按照上市公司的决策程序行使权利。</w:t>
      </w:r>
    </w:p>
    <w:p>
      <w:pPr>
        <w:tabs>
          <w:tab w:val="left" w:pos="0"/>
          <w:tab w:val="left" w:pos="156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控股股东、实际控制人及其关联方不得违反法律法规和公司章程，直接或间接干预公司决策和经营活动，损害公司及其他股东合法权益。</w:t>
      </w:r>
    </w:p>
    <w:p>
      <w:pPr>
        <w:numPr>
          <w:ilvl w:val="1"/>
          <w:numId w:val="15"/>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上市公司控股股东、实际控制人不得通过关联交易、资金占用、担保、利润分配、资产重组、对外投资等方式损害上市公司利益，侵害上市公司财产权利，谋取上市公司商业机会。</w:t>
      </w:r>
    </w:p>
    <w:p>
      <w:pPr>
        <w:numPr>
          <w:ilvl w:val="1"/>
          <w:numId w:val="15"/>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上市公司控股股东、实际控制人应当积极配合上市公司履行信息披露义务,不得要求或者协助上市公司隐瞒重要信息。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上市公司控股股东、实际控制人收到公司问询的，应当及时了解情况并回复，保证回复内容真实、准确和完整。</w:t>
      </w:r>
    </w:p>
    <w:p>
      <w:pPr>
        <w:numPr>
          <w:ilvl w:val="1"/>
          <w:numId w:val="15"/>
        </w:numPr>
        <w:tabs>
          <w:tab w:val="left" w:pos="0"/>
          <w:tab w:val="left" w:pos="156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eastAsia="仿宋_GB2312"/>
          <w:sz w:val="32"/>
          <w:szCs w:val="32"/>
        </w:rPr>
        <w:t>上市公司应当根据股权结构、董事和高级管理人员的提名任免以及其他内部治理情况，客观、审慎地认定控制权归属。</w:t>
      </w:r>
      <w:r>
        <w:rPr>
          <w:rFonts w:hint="eastAsia" w:ascii="仿宋_GB2312" w:hAnsi="宋体" w:eastAsia="仿宋_GB2312"/>
          <w:sz w:val="32"/>
          <w:szCs w:val="32"/>
        </w:rPr>
        <w:t>具有下列情形之一的，构成控制：</w:t>
      </w:r>
    </w:p>
    <w:p>
      <w:pPr>
        <w:spacing w:line="560" w:lineRule="exact"/>
        <w:ind w:firstLine="640" w:firstLineChars="200"/>
        <w:rPr>
          <w:rFonts w:ascii="仿宋_GB2312" w:hAnsi="宋体" w:eastAsia="仿宋_GB2312"/>
          <w:kern w:val="28"/>
          <w:sz w:val="32"/>
          <w:szCs w:val="32"/>
        </w:rPr>
      </w:pPr>
      <w:r>
        <w:rPr>
          <w:rFonts w:hint="eastAsia" w:ascii="仿宋_GB2312" w:hAnsi="宋体" w:eastAsia="仿宋_GB2312"/>
          <w:kern w:val="28"/>
          <w:sz w:val="32"/>
          <w:szCs w:val="32"/>
        </w:rPr>
        <w:t>（一）持有上市公司50%以上的股份，但是有相反证据的除外；</w:t>
      </w:r>
    </w:p>
    <w:p>
      <w:pPr>
        <w:spacing w:line="560" w:lineRule="exact"/>
        <w:ind w:firstLine="640" w:firstLineChars="200"/>
        <w:rPr>
          <w:rFonts w:ascii="仿宋_GB2312" w:hAnsi="宋体" w:eastAsia="仿宋_GB2312"/>
          <w:kern w:val="28"/>
          <w:sz w:val="32"/>
          <w:szCs w:val="32"/>
        </w:rPr>
      </w:pPr>
      <w:r>
        <w:rPr>
          <w:rFonts w:hint="eastAsia" w:ascii="仿宋_GB2312" w:hAnsi="宋体" w:eastAsia="仿宋_GB2312"/>
          <w:kern w:val="28"/>
          <w:sz w:val="32"/>
          <w:szCs w:val="32"/>
        </w:rPr>
        <w:t>（二）实际支配上市公司股份表决权超过30%；</w:t>
      </w:r>
    </w:p>
    <w:p>
      <w:pPr>
        <w:spacing w:line="560" w:lineRule="exact"/>
        <w:ind w:firstLine="640" w:firstLineChars="200"/>
        <w:rPr>
          <w:rFonts w:ascii="仿宋_GB2312" w:hAnsi="宋体" w:eastAsia="仿宋_GB2312"/>
          <w:kern w:val="28"/>
          <w:sz w:val="32"/>
          <w:szCs w:val="32"/>
        </w:rPr>
      </w:pPr>
      <w:r>
        <w:rPr>
          <w:rFonts w:hint="eastAsia" w:ascii="仿宋_GB2312" w:hAnsi="宋体" w:eastAsia="仿宋_GB2312"/>
          <w:kern w:val="28"/>
          <w:sz w:val="32"/>
          <w:szCs w:val="32"/>
        </w:rPr>
        <w:t>（三）通过实际支配上市公司股份表决权能够决定董事会半数以上成员的任免；</w:t>
      </w:r>
    </w:p>
    <w:p>
      <w:pPr>
        <w:spacing w:line="560" w:lineRule="exact"/>
        <w:ind w:firstLine="640" w:firstLineChars="200"/>
        <w:rPr>
          <w:rFonts w:ascii="仿宋_GB2312" w:hAnsi="宋体" w:eastAsia="仿宋_GB2312"/>
          <w:kern w:val="28"/>
          <w:sz w:val="32"/>
          <w:szCs w:val="32"/>
        </w:rPr>
      </w:pPr>
      <w:r>
        <w:rPr>
          <w:rFonts w:hint="eastAsia" w:ascii="仿宋_GB2312" w:hAnsi="宋体" w:eastAsia="仿宋_GB2312"/>
          <w:kern w:val="28"/>
          <w:sz w:val="32"/>
          <w:szCs w:val="32"/>
        </w:rPr>
        <w:t>（四）依其可实际支配的上市公司股份表决权足以对公司股东大会的决议产生重大影响；</w:t>
      </w:r>
    </w:p>
    <w:p>
      <w:pPr>
        <w:spacing w:line="560" w:lineRule="exact"/>
        <w:ind w:firstLine="640" w:firstLineChars="200"/>
        <w:rPr>
          <w:rFonts w:ascii="仿宋_GB2312" w:hAnsi="宋体" w:eastAsia="仿宋_GB2312"/>
          <w:kern w:val="28"/>
          <w:sz w:val="32"/>
          <w:szCs w:val="32"/>
        </w:rPr>
      </w:pPr>
      <w:r>
        <w:rPr>
          <w:rFonts w:hint="eastAsia" w:ascii="仿宋_GB2312" w:hAnsi="宋体" w:eastAsia="仿宋_GB2312"/>
          <w:kern w:val="28"/>
          <w:sz w:val="32"/>
          <w:szCs w:val="32"/>
        </w:rPr>
        <w:t>（五）可以实际支配或者决定上市公司的重大经营决策、重要人事任命等事项；</w:t>
      </w:r>
    </w:p>
    <w:p>
      <w:pPr>
        <w:spacing w:line="560" w:lineRule="exact"/>
        <w:ind w:firstLine="640" w:firstLineChars="200"/>
        <w:rPr>
          <w:rFonts w:ascii="仿宋_GB2312" w:eastAsia="仿宋_GB2312"/>
          <w:sz w:val="32"/>
          <w:szCs w:val="32"/>
        </w:rPr>
      </w:pPr>
      <w:r>
        <w:rPr>
          <w:rFonts w:hint="eastAsia" w:ascii="仿宋_GB2312" w:hAnsi="宋体" w:eastAsia="仿宋_GB2312"/>
          <w:kern w:val="28"/>
          <w:sz w:val="32"/>
          <w:szCs w:val="32"/>
        </w:rPr>
        <w:t>（六）中国证监会和本所认定的其他情形。</w:t>
      </w:r>
    </w:p>
    <w:p>
      <w:pPr>
        <w:tabs>
          <w:tab w:val="left" w:pos="0"/>
          <w:tab w:val="left" w:pos="156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签署一致行动协议共同控制上市公司的，应当在协议中明确共同控制安排及解除机制。</w:t>
      </w:r>
    </w:p>
    <w:p>
      <w:pPr>
        <w:numPr>
          <w:ilvl w:val="1"/>
          <w:numId w:val="15"/>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上市公司控股股东、实际控制人转让控制权的，应当保证公平合理，不得损害上市公司和其他股东的合法权益。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控股股东、实际控制人转让控制权前存在下列情形的，应当予以解决：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（一）违规占用上市公司资金；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（二）未清偿对上市公司债务或者未解除上市公司为其提供的担保；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（三）对上市公司或者其他股东的承诺未履行完毕；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（四）对上市公司或者中小股东利益存在重大不利影响的其他事项。</w:t>
      </w:r>
    </w:p>
    <w:p>
      <w:pPr>
        <w:numPr>
          <w:ilvl w:val="1"/>
          <w:numId w:val="15"/>
        </w:numPr>
        <w:tabs>
          <w:tab w:val="left" w:pos="0"/>
          <w:tab w:val="left" w:pos="156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持有上市公司5%以上股份的契约型基金、信托计划或资产管理计划，应当在权益变动文件中披露支配股份表决权的主体，以及该主体与上市公司控股股东、实际控制人是否存在关联关系。</w:t>
      </w:r>
    </w:p>
    <w:p>
      <w:pPr>
        <w:tabs>
          <w:tab w:val="left" w:pos="0"/>
          <w:tab w:val="left" w:pos="156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契约型基金、信托计划或资产管理计划成为上市公司控股股东、第一大股东或者实际控制人的，除应当履行前款规定义务外，还应当在权益变动文件中穿透披露至最终投资者。</w:t>
      </w:r>
    </w:p>
    <w:p>
      <w:pPr>
        <w:numPr>
          <w:ilvl w:val="1"/>
          <w:numId w:val="15"/>
        </w:numPr>
        <w:tabs>
          <w:tab w:val="left" w:pos="0"/>
          <w:tab w:val="left" w:pos="1560"/>
          <w:tab w:val="left" w:pos="1843"/>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上市公司控股股东、实际控制人应当严格履行承诺，并披露承诺履行情况。承诺事项无法按期履行或者履行承诺将不利于维护公司权益的，承诺方应当立即告知上市公司，提出有效的解决措施，并予以披露。</w:t>
      </w:r>
    </w:p>
    <w:p>
      <w:pPr>
        <w:tabs>
          <w:tab w:val="left" w:pos="0"/>
          <w:tab w:val="left" w:pos="1560"/>
          <w:tab w:val="left" w:pos="1843"/>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控股股东、实际控制人拟变更承诺的，应当按照中国证监会和本所有关规定履行相应决策程序。</w:t>
      </w:r>
    </w:p>
    <w:p>
      <w:pPr>
        <w:pStyle w:val="36"/>
        <w:numPr>
          <w:ilvl w:val="1"/>
          <w:numId w:val="1"/>
        </w:numPr>
        <w:ind w:left="0" w:firstLine="643"/>
      </w:pPr>
      <w:bookmarkStart w:id="73" w:name="_Toc12854"/>
      <w:r>
        <w:rPr>
          <w:rFonts w:hint="eastAsia"/>
        </w:rPr>
        <w:t>董事、监事和高级管理人员</w:t>
      </w:r>
      <w:bookmarkEnd w:id="73"/>
    </w:p>
    <w:p>
      <w:pPr>
        <w:pStyle w:val="34"/>
        <w:numPr>
          <w:ilvl w:val="0"/>
          <w:numId w:val="16"/>
        </w:numPr>
        <w:spacing w:line="560" w:lineRule="exact"/>
        <w:ind w:left="0" w:firstLine="640"/>
        <w:rPr>
          <w:rFonts w:ascii="仿宋_GB2312" w:hAnsi="宋体"/>
          <w:sz w:val="32"/>
          <w:szCs w:val="32"/>
        </w:rPr>
      </w:pPr>
      <w:r>
        <w:rPr>
          <w:rFonts w:hint="eastAsia" w:ascii="仿宋_GB2312" w:hAnsi="宋体"/>
          <w:sz w:val="32"/>
          <w:szCs w:val="32"/>
        </w:rPr>
        <w:t>上市公司董事、监事和高级管理人员应当履行忠实、勤勉义务，严格遵守承诺，维护上市公司和全体股东利益。</w:t>
      </w:r>
    </w:p>
    <w:p>
      <w:pPr>
        <w:pStyle w:val="34"/>
        <w:spacing w:line="560" w:lineRule="exact"/>
        <w:ind w:firstLine="0" w:firstLineChars="0"/>
        <w:rPr>
          <w:rFonts w:ascii="仿宋_GB2312" w:hAnsi="宋体"/>
          <w:sz w:val="32"/>
          <w:szCs w:val="32"/>
        </w:rPr>
      </w:pPr>
      <w:r>
        <w:rPr>
          <w:rFonts w:hint="eastAsia" w:ascii="仿宋_GB2312" w:hAnsi="宋体"/>
          <w:sz w:val="32"/>
          <w:szCs w:val="32"/>
        </w:rPr>
        <w:t xml:space="preserve">    独立董事应当在董事会中发挥参与决策、监督制衡、专业咨询作用。</w:t>
      </w:r>
    </w:p>
    <w:p>
      <w:pPr>
        <w:pStyle w:val="34"/>
        <w:numPr>
          <w:ilvl w:val="0"/>
          <w:numId w:val="16"/>
        </w:numPr>
        <w:spacing w:line="560" w:lineRule="exact"/>
        <w:ind w:left="0" w:firstLine="640"/>
        <w:rPr>
          <w:rFonts w:ascii="仿宋_GB2312" w:hAnsi="宋体"/>
          <w:sz w:val="32"/>
          <w:szCs w:val="32"/>
        </w:rPr>
      </w:pPr>
      <w:r>
        <w:rPr>
          <w:rFonts w:hint="eastAsia" w:ascii="仿宋_GB2312" w:hAnsi="宋体"/>
          <w:sz w:val="32"/>
          <w:szCs w:val="32"/>
        </w:rPr>
        <w:t>上市公司董事、监事和高级管理人员应当在公司股票首次上市前，新任董事、监事和高级管理人员应当在任职后1个月内，签署并向本所提交《董事（监事、高级管理人员）声明及承诺书》。声明事项发生重大变化的（持有本公司股票的情况除外），董事、监事和高级管理人员应当在5个交易日内更新并提交。</w:t>
      </w:r>
    </w:p>
    <w:p>
      <w:pPr>
        <w:spacing w:line="560" w:lineRule="exact"/>
        <w:ind w:firstLine="640" w:firstLineChars="200"/>
        <w:rPr>
          <w:rFonts w:ascii="仿宋_GB2312" w:hAnsi="宋体" w:eastAsia="仿宋_GB2312"/>
          <w:sz w:val="32"/>
          <w:szCs w:val="32"/>
        </w:rPr>
      </w:pPr>
      <w:r>
        <w:rPr>
          <w:rFonts w:hint="eastAsia" w:ascii="仿宋_GB2312" w:eastAsia="仿宋_GB2312"/>
          <w:kern w:val="0"/>
          <w:sz w:val="32"/>
          <w:szCs w:val="32"/>
        </w:rPr>
        <w:t>签署《</w:t>
      </w:r>
      <w:r>
        <w:rPr>
          <w:rFonts w:hint="eastAsia" w:ascii="仿宋_GB2312" w:hAnsi="宋体" w:eastAsia="仿宋_GB2312"/>
          <w:sz w:val="32"/>
          <w:szCs w:val="32"/>
        </w:rPr>
        <w:t>董事（监事、高级管理人员）声明及承诺书</w:t>
      </w:r>
      <w:r>
        <w:rPr>
          <w:rFonts w:hint="eastAsia" w:ascii="仿宋_GB2312" w:eastAsia="仿宋_GB2312"/>
          <w:kern w:val="0"/>
          <w:sz w:val="32"/>
          <w:szCs w:val="32"/>
        </w:rPr>
        <w:t>》时，应当由律师见证。</w:t>
      </w:r>
    </w:p>
    <w:p>
      <w:pPr>
        <w:pStyle w:val="34"/>
        <w:numPr>
          <w:ilvl w:val="0"/>
          <w:numId w:val="16"/>
        </w:numPr>
        <w:tabs>
          <w:tab w:val="left" w:pos="1560"/>
        </w:tabs>
        <w:spacing w:line="560" w:lineRule="exact"/>
        <w:ind w:left="0" w:firstLine="640"/>
        <w:rPr>
          <w:rFonts w:ascii="仿宋_GB2312" w:hAnsi="黑体"/>
          <w:sz w:val="32"/>
          <w:szCs w:val="32"/>
        </w:rPr>
      </w:pPr>
      <w:r>
        <w:rPr>
          <w:rFonts w:hint="eastAsia" w:ascii="仿宋_GB2312" w:hAnsi="黑体"/>
          <w:sz w:val="32"/>
          <w:szCs w:val="32"/>
        </w:rPr>
        <w:t>上市公司</w:t>
      </w:r>
      <w:r>
        <w:rPr>
          <w:rFonts w:hint="eastAsia" w:ascii="仿宋_GB2312" w:hAnsi="宋体"/>
          <w:sz w:val="32"/>
          <w:szCs w:val="32"/>
        </w:rPr>
        <w:t>董事应当履行以下忠实义务，维护上市公司利益：</w:t>
      </w:r>
    </w:p>
    <w:p>
      <w:pPr>
        <w:pStyle w:val="34"/>
        <w:numPr>
          <w:ilvl w:val="3"/>
          <w:numId w:val="1"/>
        </w:numPr>
        <w:tabs>
          <w:tab w:val="left" w:pos="0"/>
          <w:tab w:val="left" w:pos="1560"/>
          <w:tab w:val="clear" w:pos="1980"/>
        </w:tabs>
        <w:autoSpaceDE w:val="0"/>
        <w:autoSpaceDN w:val="0"/>
        <w:snapToGrid w:val="0"/>
        <w:spacing w:line="560" w:lineRule="exact"/>
        <w:ind w:left="0" w:firstLine="640"/>
        <w:rPr>
          <w:rFonts w:ascii="仿宋_GB2312" w:hAnsi="宋体"/>
          <w:sz w:val="32"/>
          <w:szCs w:val="32"/>
        </w:rPr>
      </w:pPr>
      <w:r>
        <w:rPr>
          <w:rFonts w:hint="eastAsia" w:ascii="仿宋_GB2312" w:hAnsi="宋体"/>
          <w:sz w:val="32"/>
          <w:szCs w:val="32"/>
        </w:rPr>
        <w:t>维护上市公司及全体股东利益，不得为实际控制人、股东、员工、本人或者其他第三方的利益损害上市公司利益；</w:t>
      </w:r>
    </w:p>
    <w:p>
      <w:pPr>
        <w:pStyle w:val="34"/>
        <w:numPr>
          <w:ilvl w:val="3"/>
          <w:numId w:val="1"/>
        </w:numPr>
        <w:tabs>
          <w:tab w:val="left" w:pos="0"/>
          <w:tab w:val="left" w:pos="1560"/>
          <w:tab w:val="clear" w:pos="1980"/>
        </w:tabs>
        <w:autoSpaceDE w:val="0"/>
        <w:autoSpaceDN w:val="0"/>
        <w:snapToGrid w:val="0"/>
        <w:spacing w:line="560" w:lineRule="exact"/>
        <w:ind w:left="0" w:firstLine="640"/>
        <w:rPr>
          <w:rFonts w:ascii="仿宋_GB2312" w:hAnsi="宋体"/>
          <w:sz w:val="32"/>
          <w:szCs w:val="32"/>
        </w:rPr>
      </w:pPr>
      <w:r>
        <w:rPr>
          <w:rFonts w:hint="eastAsia" w:ascii="仿宋_GB2312" w:hAnsi="宋体"/>
          <w:sz w:val="32"/>
          <w:szCs w:val="32"/>
        </w:rPr>
        <w:t>未经股东大会同意，不得为本人及其近亲属谋取属于上市公司的商业机会，不得自营、委托他人经营上市公司同类业务；</w:t>
      </w:r>
    </w:p>
    <w:p>
      <w:pPr>
        <w:pStyle w:val="34"/>
        <w:numPr>
          <w:ilvl w:val="3"/>
          <w:numId w:val="1"/>
        </w:numPr>
        <w:tabs>
          <w:tab w:val="left" w:pos="0"/>
          <w:tab w:val="clear" w:pos="1980"/>
        </w:tabs>
        <w:autoSpaceDE w:val="0"/>
        <w:autoSpaceDN w:val="0"/>
        <w:snapToGrid w:val="0"/>
        <w:spacing w:line="560" w:lineRule="exact"/>
        <w:ind w:left="0" w:firstLine="640"/>
        <w:rPr>
          <w:rFonts w:ascii="仿宋_GB2312" w:hAnsi="宋体"/>
          <w:sz w:val="32"/>
          <w:szCs w:val="32"/>
        </w:rPr>
      </w:pPr>
      <w:r>
        <w:rPr>
          <w:rFonts w:hint="eastAsia" w:ascii="仿宋_GB2312" w:hAnsi="宋体"/>
          <w:sz w:val="32"/>
          <w:szCs w:val="32"/>
        </w:rPr>
        <w:t>保守商业秘密，不得泄露尚未披露的重大信息，不得利用内幕信息获取不法利益，离职后履行与公司约定的竞业禁止义务；</w:t>
      </w:r>
    </w:p>
    <w:p>
      <w:pPr>
        <w:pStyle w:val="34"/>
        <w:numPr>
          <w:ilvl w:val="3"/>
          <w:numId w:val="1"/>
        </w:numPr>
        <w:tabs>
          <w:tab w:val="left" w:pos="0"/>
          <w:tab w:val="clear" w:pos="1980"/>
        </w:tabs>
        <w:autoSpaceDE w:val="0"/>
        <w:autoSpaceDN w:val="0"/>
        <w:snapToGrid w:val="0"/>
        <w:spacing w:line="560" w:lineRule="exact"/>
        <w:ind w:left="0" w:firstLine="640"/>
        <w:rPr>
          <w:rFonts w:ascii="仿宋_GB2312" w:hAnsi="宋体"/>
          <w:sz w:val="32"/>
          <w:szCs w:val="32"/>
        </w:rPr>
      </w:pPr>
      <w:r>
        <w:rPr>
          <w:rFonts w:hint="eastAsia" w:ascii="仿宋_GB2312" w:hAnsi="宋体"/>
          <w:sz w:val="32"/>
          <w:szCs w:val="32"/>
        </w:rPr>
        <w:t xml:space="preserve">法律法规、本规则以及本所其他规定、公司章程规定的其他忠实义务。 </w:t>
      </w:r>
    </w:p>
    <w:p>
      <w:pPr>
        <w:pStyle w:val="34"/>
        <w:numPr>
          <w:ilvl w:val="0"/>
          <w:numId w:val="16"/>
        </w:numPr>
        <w:spacing w:line="560" w:lineRule="exact"/>
        <w:ind w:left="0" w:firstLine="640"/>
        <w:rPr>
          <w:rFonts w:ascii="仿宋_GB2312" w:hAnsi="宋体"/>
          <w:sz w:val="32"/>
          <w:szCs w:val="32"/>
        </w:rPr>
      </w:pPr>
      <w:r>
        <w:rPr>
          <w:rFonts w:hint="eastAsia" w:ascii="仿宋_GB2312" w:hAnsi="宋体"/>
          <w:sz w:val="32"/>
          <w:szCs w:val="32"/>
        </w:rPr>
        <w:t>上市公司董事应当履行以下勤勉义务，不得怠于履行职责：</w:t>
      </w:r>
    </w:p>
    <w:p>
      <w:pPr>
        <w:pStyle w:val="34"/>
        <w:numPr>
          <w:ilvl w:val="0"/>
          <w:numId w:val="17"/>
        </w:numPr>
        <w:tabs>
          <w:tab w:val="left" w:pos="1418"/>
          <w:tab w:val="left" w:pos="1560"/>
        </w:tabs>
        <w:autoSpaceDE w:val="0"/>
        <w:autoSpaceDN w:val="0"/>
        <w:snapToGrid w:val="0"/>
        <w:spacing w:line="560" w:lineRule="exact"/>
        <w:ind w:left="0" w:firstLine="640"/>
        <w:rPr>
          <w:rFonts w:ascii="仿宋_GB2312" w:hAnsi="宋体"/>
          <w:sz w:val="32"/>
          <w:szCs w:val="32"/>
        </w:rPr>
      </w:pPr>
      <w:r>
        <w:rPr>
          <w:rFonts w:hint="eastAsia" w:ascii="仿宋_GB2312" w:hAnsi="宋体"/>
          <w:sz w:val="32"/>
          <w:szCs w:val="32"/>
        </w:rPr>
        <w:t>保证有足够的时间和精力参与上市公司事务，审慎判断审议事项可能产生的风险和收益；原则上应当亲自出席董事会会议，因故授权其他董事代为出席的，应当审慎选择受托人，授权事项和决策意向应当具体明确，不得全权委托；</w:t>
      </w:r>
    </w:p>
    <w:p>
      <w:pPr>
        <w:pStyle w:val="34"/>
        <w:numPr>
          <w:ilvl w:val="0"/>
          <w:numId w:val="17"/>
        </w:numPr>
        <w:tabs>
          <w:tab w:val="left" w:pos="1418"/>
          <w:tab w:val="left" w:pos="1560"/>
        </w:tabs>
        <w:autoSpaceDE w:val="0"/>
        <w:autoSpaceDN w:val="0"/>
        <w:snapToGrid w:val="0"/>
        <w:spacing w:line="560" w:lineRule="exact"/>
        <w:ind w:left="0" w:firstLine="640"/>
        <w:rPr>
          <w:rFonts w:ascii="仿宋_GB2312" w:hAnsi="宋体"/>
          <w:sz w:val="32"/>
          <w:szCs w:val="32"/>
        </w:rPr>
      </w:pPr>
      <w:r>
        <w:rPr>
          <w:rFonts w:hint="eastAsia" w:ascii="仿宋_GB2312" w:hAnsi="宋体"/>
          <w:sz w:val="32"/>
          <w:szCs w:val="32"/>
        </w:rPr>
        <w:t>关注公司经营状况等事项，及时向董事会报告相关问题和风险，不得以对公司业务不熟悉或者对相关事项不了解为由主张免除责任；</w:t>
      </w:r>
    </w:p>
    <w:p>
      <w:pPr>
        <w:pStyle w:val="34"/>
        <w:numPr>
          <w:ilvl w:val="0"/>
          <w:numId w:val="17"/>
        </w:numPr>
        <w:tabs>
          <w:tab w:val="left" w:pos="1418"/>
          <w:tab w:val="left" w:pos="1560"/>
        </w:tabs>
        <w:autoSpaceDE w:val="0"/>
        <w:autoSpaceDN w:val="0"/>
        <w:snapToGrid w:val="0"/>
        <w:spacing w:line="560" w:lineRule="exact"/>
        <w:ind w:left="0" w:firstLine="640"/>
        <w:rPr>
          <w:rFonts w:ascii="仿宋_GB2312" w:hAnsi="宋体"/>
          <w:sz w:val="32"/>
          <w:szCs w:val="32"/>
        </w:rPr>
      </w:pPr>
      <w:r>
        <w:rPr>
          <w:rFonts w:hint="eastAsia" w:ascii="仿宋_GB2312" w:hAnsi="宋体"/>
          <w:sz w:val="32"/>
          <w:szCs w:val="32"/>
        </w:rPr>
        <w:t>积极推动公司规范运行，督促公司履行信息披露义务，及时纠正和报告公司的违规行为，支持公司履行社会责任；</w:t>
      </w:r>
    </w:p>
    <w:p>
      <w:pPr>
        <w:pStyle w:val="34"/>
        <w:numPr>
          <w:ilvl w:val="0"/>
          <w:numId w:val="17"/>
        </w:numPr>
        <w:tabs>
          <w:tab w:val="left" w:pos="1418"/>
          <w:tab w:val="left" w:pos="1560"/>
        </w:tabs>
        <w:autoSpaceDE w:val="0"/>
        <w:autoSpaceDN w:val="0"/>
        <w:snapToGrid w:val="0"/>
        <w:spacing w:line="560" w:lineRule="exact"/>
        <w:ind w:left="0" w:firstLine="640"/>
        <w:rPr>
          <w:rFonts w:ascii="仿宋_GB2312" w:hAnsi="宋体"/>
          <w:sz w:val="32"/>
          <w:szCs w:val="32"/>
        </w:rPr>
      </w:pPr>
      <w:r>
        <w:rPr>
          <w:rFonts w:hint="eastAsia" w:ascii="仿宋_GB2312" w:hAnsi="宋体"/>
          <w:sz w:val="32"/>
          <w:szCs w:val="32"/>
        </w:rPr>
        <w:t xml:space="preserve">法律法规、本规则以及本所其他规定、公司章程规定的其他勤勉义务。 </w:t>
      </w:r>
    </w:p>
    <w:p>
      <w:pPr>
        <w:pStyle w:val="34"/>
        <w:numPr>
          <w:ilvl w:val="0"/>
          <w:numId w:val="16"/>
        </w:numPr>
        <w:spacing w:line="560" w:lineRule="exact"/>
        <w:ind w:left="0" w:firstLine="640"/>
        <w:rPr>
          <w:rFonts w:ascii="仿宋_GB2312" w:hAnsi="黑体"/>
          <w:color w:val="000000"/>
          <w:sz w:val="32"/>
          <w:szCs w:val="32"/>
        </w:rPr>
      </w:pPr>
      <w:r>
        <w:rPr>
          <w:rFonts w:hint="eastAsia" w:ascii="仿宋_GB2312" w:hAnsi="黑体"/>
          <w:color w:val="000000"/>
          <w:sz w:val="32"/>
          <w:szCs w:val="32"/>
        </w:rPr>
        <w:t>董事每届任期不得超过3年，任期届满可连选连任。董事由股东大会选举和更换，并可在任期届满前由股东大会解除其职务。</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上市公司监事和高级管理人员应当参照第4.2.3条和第4.2.4条的规定，履行忠实和勤勉义务。</w:t>
      </w:r>
    </w:p>
    <w:p>
      <w:pPr>
        <w:pStyle w:val="34"/>
        <w:numPr>
          <w:ilvl w:val="0"/>
          <w:numId w:val="16"/>
        </w:numPr>
        <w:spacing w:line="560" w:lineRule="exact"/>
        <w:ind w:left="0" w:firstLine="640"/>
        <w:rPr>
          <w:rFonts w:ascii="仿宋_GB2312" w:hAnsi="宋体"/>
          <w:sz w:val="32"/>
          <w:szCs w:val="32"/>
        </w:rPr>
      </w:pPr>
      <w:r>
        <w:rPr>
          <w:rFonts w:hint="eastAsia" w:ascii="仿宋_GB2312" w:hAnsi="黑体"/>
          <w:sz w:val="32"/>
          <w:szCs w:val="32"/>
        </w:rPr>
        <w:t>上市公司最迟应当在发布召开关于选举独立董事的股东大会通知时</w:t>
      </w:r>
      <w:r>
        <w:rPr>
          <w:rFonts w:hint="eastAsia" w:ascii="仿宋_GB2312" w:hAnsi="宋体"/>
          <w:sz w:val="32"/>
          <w:szCs w:val="32"/>
        </w:rPr>
        <w:t>，将所有独立董事候选人的有关材料（包括但不限于提名人声明与承诺、候选人声明与承诺、独立董事履历表）报送本所，并保证报送材料的真实、准确、完整。提名人应当在声明与承诺中承诺，被提名人与其不存在利害关系或者其他可能影响被提名人独立履职的情形。</w:t>
      </w:r>
    </w:p>
    <w:p>
      <w:pPr>
        <w:ind w:firstLine="640" w:firstLineChars="200"/>
        <w:rPr>
          <w:rFonts w:ascii="仿宋_GB2312" w:hAnsi="宋体" w:eastAsia="仿宋_GB2312"/>
          <w:sz w:val="32"/>
          <w:szCs w:val="32"/>
        </w:rPr>
      </w:pPr>
      <w:r>
        <w:rPr>
          <w:rFonts w:hint="eastAsia" w:ascii="仿宋_GB2312" w:hAnsi="宋体" w:eastAsia="仿宋_GB2312"/>
          <w:sz w:val="32"/>
          <w:szCs w:val="32"/>
        </w:rPr>
        <w:t>公司董事会对独立董事候选人的有关情况有异议的，应当同时报送董事会的书面意见。</w:t>
      </w:r>
    </w:p>
    <w:p>
      <w:pPr>
        <w:ind w:firstLine="640" w:firstLineChars="200"/>
        <w:rPr>
          <w:rFonts w:ascii="仿宋_GB2312" w:hAnsi="宋体" w:eastAsia="仿宋_GB2312"/>
          <w:sz w:val="32"/>
          <w:szCs w:val="32"/>
        </w:rPr>
      </w:pPr>
      <w:r>
        <w:rPr>
          <w:rFonts w:hint="eastAsia" w:ascii="仿宋_GB2312" w:hAnsi="宋体" w:eastAsia="仿宋_GB2312"/>
          <w:sz w:val="32"/>
          <w:szCs w:val="32"/>
        </w:rPr>
        <w:t>在召开股东大会选举独立董事时，公司董事会应当对独立董事候选人是否被本所提出异议的情况进行说明。对于本所提出异议的独立董事候选人，公司不得提交股东大会选举。</w:t>
      </w:r>
    </w:p>
    <w:p>
      <w:pPr>
        <w:pStyle w:val="34"/>
        <w:numPr>
          <w:ilvl w:val="0"/>
          <w:numId w:val="16"/>
        </w:numPr>
        <w:spacing w:line="560" w:lineRule="exact"/>
        <w:ind w:left="0" w:firstLine="640"/>
        <w:rPr>
          <w:rFonts w:ascii="仿宋_GB2312" w:hAnsi="宋体"/>
          <w:sz w:val="32"/>
          <w:szCs w:val="32"/>
        </w:rPr>
      </w:pPr>
      <w:r>
        <w:rPr>
          <w:rFonts w:hint="eastAsia" w:ascii="仿宋_GB2312" w:hAnsi="宋体"/>
          <w:sz w:val="32"/>
          <w:szCs w:val="32"/>
        </w:rPr>
        <w:t>独立董事履行下列职责：</w:t>
      </w:r>
    </w:p>
    <w:p>
      <w:pPr>
        <w:pStyle w:val="34"/>
        <w:spacing w:line="560" w:lineRule="exact"/>
        <w:ind w:firstLine="0" w:firstLineChars="0"/>
        <w:rPr>
          <w:rFonts w:ascii="仿宋_GB2312" w:hAnsi="宋体"/>
          <w:sz w:val="32"/>
          <w:szCs w:val="32"/>
        </w:rPr>
      </w:pPr>
      <w:r>
        <w:rPr>
          <w:rFonts w:ascii="仿宋_GB2312" w:hAnsi="宋体"/>
          <w:sz w:val="32"/>
          <w:szCs w:val="32"/>
        </w:rPr>
        <w:t xml:space="preserve">    </w:t>
      </w:r>
      <w:r>
        <w:rPr>
          <w:rFonts w:hint="eastAsia" w:ascii="仿宋_GB2312" w:hAnsi="宋体"/>
          <w:sz w:val="32"/>
          <w:szCs w:val="32"/>
        </w:rPr>
        <w:t>（一）参与董事会决策并对所议事项发表明确意见；</w:t>
      </w:r>
    </w:p>
    <w:p>
      <w:pPr>
        <w:pStyle w:val="34"/>
        <w:spacing w:line="560" w:lineRule="exact"/>
        <w:ind w:firstLine="0" w:firstLineChars="0"/>
        <w:rPr>
          <w:rFonts w:ascii="仿宋_GB2312" w:hAnsi="宋体"/>
          <w:sz w:val="32"/>
          <w:szCs w:val="32"/>
        </w:rPr>
      </w:pPr>
      <w:r>
        <w:rPr>
          <w:rFonts w:ascii="仿宋_GB2312" w:hAnsi="宋体"/>
          <w:sz w:val="32"/>
          <w:szCs w:val="32"/>
        </w:rPr>
        <w:t xml:space="preserve">    （二）</w:t>
      </w:r>
      <w:r>
        <w:rPr>
          <w:rFonts w:hint="eastAsia" w:ascii="仿宋_GB2312" w:hAnsi="宋体"/>
          <w:sz w:val="32"/>
          <w:szCs w:val="32"/>
        </w:rPr>
        <w:t>按照《上市公司独立董事管理办法》的有关规定，对上市公司与其控股股东、实际控制人、董事、高级管理人员之间的潜在重大利益冲突事项进行监督，促使董事会决策符合公司整体利益，保护中小股东的合法权益；</w:t>
      </w:r>
    </w:p>
    <w:p>
      <w:pPr>
        <w:pStyle w:val="34"/>
        <w:spacing w:line="560" w:lineRule="exact"/>
        <w:ind w:firstLine="640"/>
        <w:rPr>
          <w:rFonts w:ascii="仿宋_GB2312" w:hAnsi="宋体"/>
          <w:sz w:val="32"/>
          <w:szCs w:val="32"/>
        </w:rPr>
      </w:pPr>
      <w:r>
        <w:rPr>
          <w:rFonts w:hint="eastAsia" w:ascii="仿宋_GB2312" w:hAnsi="宋体"/>
          <w:sz w:val="32"/>
          <w:szCs w:val="32"/>
        </w:rPr>
        <w:t>（三）对上市公司经营发展提供专业、客观的建议，促进提升董事会决策水平；</w:t>
      </w:r>
    </w:p>
    <w:p>
      <w:pPr>
        <w:pStyle w:val="34"/>
        <w:ind w:firstLine="640"/>
        <w:rPr>
          <w:rFonts w:ascii="仿宋_GB2312" w:hAnsi="宋体"/>
          <w:sz w:val="32"/>
          <w:szCs w:val="32"/>
        </w:rPr>
      </w:pPr>
      <w:r>
        <w:rPr>
          <w:rFonts w:hint="eastAsia" w:ascii="仿宋_GB2312" w:hAnsi="宋体"/>
          <w:sz w:val="32"/>
          <w:szCs w:val="32"/>
        </w:rPr>
        <w:t>（四）法律法规、本所相关规定及公司章程规定的其他职责。</w:t>
      </w:r>
    </w:p>
    <w:p>
      <w:pPr>
        <w:pStyle w:val="34"/>
        <w:tabs>
          <w:tab w:val="left" w:pos="4962"/>
        </w:tabs>
        <w:ind w:firstLine="640"/>
        <w:rPr>
          <w:rFonts w:ascii="仿宋_GB2312" w:hAnsi="宋体"/>
          <w:sz w:val="32"/>
          <w:szCs w:val="32"/>
        </w:rPr>
      </w:pPr>
      <w:r>
        <w:rPr>
          <w:rFonts w:hint="eastAsia" w:ascii="仿宋_GB2312" w:hAnsi="宋体"/>
          <w:sz w:val="32"/>
          <w:szCs w:val="32"/>
        </w:rPr>
        <w:t>独立董事应当独立、公正地履行职责，不受上市公司及其主要股东、实际控制人等单位或个人的影响。</w:t>
      </w:r>
    </w:p>
    <w:p>
      <w:pPr>
        <w:pStyle w:val="34"/>
        <w:numPr>
          <w:ilvl w:val="0"/>
          <w:numId w:val="16"/>
        </w:numPr>
        <w:tabs>
          <w:tab w:val="left" w:pos="1560"/>
        </w:tabs>
        <w:spacing w:line="560" w:lineRule="exact"/>
        <w:ind w:left="0" w:firstLine="640"/>
        <w:rPr>
          <w:rFonts w:ascii="仿宋_GB2312" w:hAnsi="宋体"/>
          <w:sz w:val="32"/>
          <w:szCs w:val="32"/>
        </w:rPr>
      </w:pPr>
      <w:r>
        <w:rPr>
          <w:rFonts w:hint="eastAsia" w:ascii="仿宋_GB2312" w:hAnsi="宋体"/>
          <w:sz w:val="32"/>
          <w:szCs w:val="32"/>
        </w:rPr>
        <w:t>独立董事行使下列特别职权：</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（一）独立聘请中介机构，对上市公司具体事项进行审计、咨询或核查；</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（二）向董事会提议召开临时股东大会；</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（三）提议召开董事会；</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（四）依法公开向股东征集股东权利；</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（五）对可能损害上市公司或者中小股东权益的事项发表独立意见；</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（六）法律法规、本所相关规定及公司章程规定的其他职权。</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独立董事行使前款第一项至第三项职权的，应当经全体独立董事过半数同意。</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独立董事行使本条第一款所列职权的，上市公司应当及时披露。上述职权不能正常行使的，上市公司应当披露具体情况和理由。</w:t>
      </w:r>
    </w:p>
    <w:p>
      <w:pPr>
        <w:pStyle w:val="34"/>
        <w:numPr>
          <w:ilvl w:val="0"/>
          <w:numId w:val="16"/>
        </w:numPr>
        <w:tabs>
          <w:tab w:val="left" w:pos="1560"/>
        </w:tabs>
        <w:spacing w:line="560" w:lineRule="exact"/>
        <w:ind w:left="0" w:firstLine="640" w:firstLineChars="0"/>
        <w:rPr>
          <w:rFonts w:ascii="仿宋_GB2312" w:hAnsi="宋体"/>
          <w:sz w:val="32"/>
          <w:szCs w:val="32"/>
        </w:rPr>
      </w:pPr>
      <w:r>
        <w:rPr>
          <w:rFonts w:hint="eastAsia" w:ascii="仿宋_GB2312" w:hAnsi="宋体"/>
          <w:sz w:val="32"/>
          <w:szCs w:val="32"/>
        </w:rPr>
        <w:t>下列事项应当经上市公司全体独立董事过半数同意后，提交董事会审议：</w:t>
      </w:r>
    </w:p>
    <w:p>
      <w:pPr>
        <w:pStyle w:val="34"/>
        <w:tabs>
          <w:tab w:val="left" w:pos="1560"/>
        </w:tabs>
        <w:spacing w:line="560" w:lineRule="exact"/>
        <w:ind w:firstLine="640" w:firstLineChars="0"/>
        <w:rPr>
          <w:rFonts w:ascii="仿宋_GB2312" w:hAnsi="宋体"/>
          <w:sz w:val="32"/>
          <w:szCs w:val="32"/>
        </w:rPr>
      </w:pPr>
      <w:r>
        <w:rPr>
          <w:rFonts w:hint="eastAsia" w:ascii="仿宋_GB2312" w:hAnsi="宋体"/>
          <w:sz w:val="32"/>
          <w:szCs w:val="32"/>
        </w:rPr>
        <w:t>（一）应当披露的关联交易；</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（二）上市公司及相关方变更或者豁免承诺的方案；</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（三）被收购上市公司董事会针对收购所作出的决策及采取的措施；</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（四）法律法规、本所相关规定及公司章程规定的其他事项。</w:t>
      </w:r>
    </w:p>
    <w:p>
      <w:pPr>
        <w:pStyle w:val="34"/>
        <w:numPr>
          <w:ilvl w:val="0"/>
          <w:numId w:val="16"/>
        </w:numPr>
        <w:tabs>
          <w:tab w:val="left" w:pos="1560"/>
        </w:tabs>
        <w:spacing w:line="560" w:lineRule="exact"/>
        <w:ind w:left="0" w:firstLine="640"/>
        <w:rPr>
          <w:rFonts w:ascii="仿宋_GB2312" w:hAnsi="宋体"/>
          <w:sz w:val="32"/>
          <w:szCs w:val="32"/>
        </w:rPr>
      </w:pPr>
      <w:r>
        <w:rPr>
          <w:rFonts w:hint="eastAsia" w:ascii="仿宋_GB2312" w:hAnsi="宋体"/>
          <w:sz w:val="32"/>
          <w:szCs w:val="32"/>
        </w:rPr>
        <w:t>上市公司应当建立独立董事专门会议制度，定期或者不定期召开全部由独立董事参加的会议，对本规则第4.2.8条第一款第一项至第三项和第4.2.9条规定的相关事项进行审议。</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独立董事专门会议可以根据需要研究讨论上市公司其他事项。</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独立董事专门会议应当由过半数独立董事共同推举一名独立董事召集和主持；召集人不履职或者不能履职时，两名及以上独立董事可以自行召集并推举一名代表主持。</w:t>
      </w:r>
    </w:p>
    <w:p>
      <w:pPr>
        <w:pStyle w:val="34"/>
        <w:tabs>
          <w:tab w:val="left" w:pos="1560"/>
        </w:tabs>
        <w:spacing w:line="560" w:lineRule="exact"/>
        <w:ind w:firstLine="640"/>
        <w:rPr>
          <w:rFonts w:ascii="仿宋_GB2312" w:hAnsi="宋体"/>
          <w:sz w:val="32"/>
          <w:szCs w:val="32"/>
        </w:rPr>
      </w:pPr>
      <w:r>
        <w:rPr>
          <w:rFonts w:hint="eastAsia" w:ascii="仿宋_GB2312" w:hAnsi="宋体"/>
          <w:sz w:val="32"/>
          <w:szCs w:val="32"/>
        </w:rPr>
        <w:t>上市公司应当为独立董事专门会议召开提供便利和支持。</w:t>
      </w:r>
    </w:p>
    <w:p>
      <w:pPr>
        <w:pStyle w:val="34"/>
        <w:numPr>
          <w:ilvl w:val="0"/>
          <w:numId w:val="16"/>
        </w:numPr>
        <w:tabs>
          <w:tab w:val="left" w:pos="1560"/>
        </w:tabs>
        <w:spacing w:line="560" w:lineRule="exact"/>
        <w:ind w:left="0" w:firstLine="640"/>
        <w:rPr>
          <w:rFonts w:ascii="仿宋_GB2312" w:hAnsi="宋体"/>
          <w:sz w:val="32"/>
          <w:szCs w:val="32"/>
        </w:rPr>
      </w:pPr>
      <w:r>
        <w:rPr>
          <w:rFonts w:hint="eastAsia" w:ascii="仿宋_GB2312" w:hAnsi="宋体"/>
          <w:sz w:val="32"/>
          <w:szCs w:val="32"/>
        </w:rPr>
        <w:t>上市公司董事、监事、高级管理人员和核心技术人员所持公司股份发生变动的，应当在2个交易日内向公司报告并由公司在本所网站公告。</w:t>
      </w:r>
    </w:p>
    <w:p>
      <w:pPr>
        <w:pStyle w:val="34"/>
        <w:numPr>
          <w:ilvl w:val="0"/>
          <w:numId w:val="16"/>
        </w:numPr>
        <w:tabs>
          <w:tab w:val="left" w:pos="0"/>
        </w:tabs>
        <w:spacing w:line="560" w:lineRule="exact"/>
        <w:ind w:left="0" w:firstLine="640"/>
        <w:rPr>
          <w:rFonts w:ascii="仿宋_GB2312" w:hAnsi="宋体"/>
          <w:sz w:val="32"/>
          <w:szCs w:val="32"/>
        </w:rPr>
      </w:pPr>
      <w:r>
        <w:rPr>
          <w:rFonts w:hint="eastAsia" w:ascii="仿宋_GB2312" w:hAnsi="宋体"/>
          <w:sz w:val="32"/>
          <w:szCs w:val="32"/>
        </w:rPr>
        <w:t>上市公司应当设立董事会秘书，负责公司的信息披露事务。</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上市公司董事会秘书为高级管理人员，应当具备相应任职条件和资格，忠实、勤勉履行职责。</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董事会秘书空缺期间，上市公司应当及时指定一名董事或者高级管理人员代行董事会秘书职责。空缺超过3个月的，公司法定代表人应当代行董事会秘书职责。</w:t>
      </w:r>
    </w:p>
    <w:p>
      <w:pPr>
        <w:pStyle w:val="34"/>
        <w:numPr>
          <w:ilvl w:val="0"/>
          <w:numId w:val="16"/>
        </w:numPr>
        <w:tabs>
          <w:tab w:val="left" w:pos="1560"/>
        </w:tabs>
        <w:spacing w:line="560" w:lineRule="exact"/>
        <w:ind w:left="0" w:firstLine="640"/>
        <w:rPr>
          <w:rFonts w:ascii="仿宋_GB2312" w:hAnsi="宋体"/>
          <w:sz w:val="32"/>
          <w:szCs w:val="32"/>
        </w:rPr>
      </w:pPr>
      <w:r>
        <w:rPr>
          <w:rFonts w:hint="eastAsia" w:ascii="仿宋_GB2312" w:hAnsi="宋体"/>
          <w:sz w:val="32"/>
          <w:szCs w:val="32"/>
        </w:rPr>
        <w:t>上市公司应当为董事会秘书履行职责提供便利条件，董事、监事</w:t>
      </w:r>
      <w:r>
        <w:rPr>
          <w:rFonts w:hint="eastAsia" w:ascii="仿宋_GB2312"/>
          <w:sz w:val="32"/>
          <w:szCs w:val="32"/>
        </w:rPr>
        <w:t>、</w:t>
      </w:r>
      <w:r>
        <w:rPr>
          <w:rFonts w:hint="eastAsia" w:ascii="仿宋_GB2312" w:hAnsi="宋体"/>
          <w:sz w:val="32"/>
          <w:szCs w:val="32"/>
        </w:rPr>
        <w:t>其他高级管理人员和相关工作人员应当配合董事会秘书的工作。</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董事会秘书有权了解公司的经营和财务情况，参加有关会议，查阅相关文件，要求有关部门和人员提供资料和信息。</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上市公司解聘董事会秘书应当有充分的理由，不得无故解聘。</w:t>
      </w:r>
    </w:p>
    <w:p>
      <w:pPr>
        <w:pStyle w:val="34"/>
        <w:numPr>
          <w:ilvl w:val="0"/>
          <w:numId w:val="16"/>
        </w:numPr>
        <w:tabs>
          <w:tab w:val="left" w:pos="1560"/>
        </w:tabs>
        <w:spacing w:line="560" w:lineRule="exact"/>
        <w:ind w:left="0" w:firstLine="640"/>
        <w:rPr>
          <w:rFonts w:ascii="仿宋_GB2312" w:hAnsi="宋体"/>
          <w:sz w:val="32"/>
          <w:szCs w:val="32"/>
        </w:rPr>
      </w:pPr>
      <w:r>
        <w:rPr>
          <w:rFonts w:hint="eastAsia" w:ascii="仿宋_GB2312" w:hAnsi="宋体"/>
          <w:sz w:val="32"/>
          <w:szCs w:val="32"/>
        </w:rPr>
        <w:t>上市公司应当设立证券事务代表，协助董事会秘书履行职责。董事会秘书不能履行职责或董事会秘书授权时，证券事务代表应当代为履行职责。在此期间，并不当然免除董事会秘书对公司信息披露所负有的责任。</w:t>
      </w:r>
    </w:p>
    <w:p>
      <w:pPr>
        <w:pStyle w:val="34"/>
        <w:numPr>
          <w:ilvl w:val="0"/>
          <w:numId w:val="16"/>
        </w:numPr>
        <w:tabs>
          <w:tab w:val="left" w:pos="1560"/>
        </w:tabs>
        <w:spacing w:line="560" w:lineRule="exact"/>
        <w:ind w:left="0" w:firstLine="640"/>
        <w:rPr>
          <w:rFonts w:ascii="仿宋_GB2312" w:hAnsi="宋体"/>
          <w:sz w:val="32"/>
          <w:szCs w:val="32"/>
        </w:rPr>
      </w:pPr>
      <w:r>
        <w:rPr>
          <w:rFonts w:ascii="仿宋_GB2312" w:hAnsi="宋体"/>
          <w:sz w:val="32"/>
          <w:szCs w:val="32"/>
        </w:rPr>
        <w:t>上市公司董事会聘任董事会秘书和证券事务代表后，应当及时公告并向本所提交下述资料：</w:t>
      </w:r>
    </w:p>
    <w:p>
      <w:pPr>
        <w:tabs>
          <w:tab w:val="left" w:pos="1560"/>
        </w:tabs>
        <w:spacing w:line="560" w:lineRule="exact"/>
        <w:ind w:firstLine="640" w:firstLineChars="200"/>
        <w:rPr>
          <w:rFonts w:ascii="仿宋_GB2312" w:hAnsi="宋体" w:eastAsia="仿宋_GB2312"/>
          <w:sz w:val="32"/>
          <w:szCs w:val="32"/>
        </w:rPr>
      </w:pPr>
      <w:r>
        <w:rPr>
          <w:rFonts w:ascii="仿宋_GB2312" w:hAnsi="宋体" w:eastAsia="仿宋_GB2312"/>
          <w:sz w:val="32"/>
          <w:szCs w:val="32"/>
        </w:rPr>
        <w:t>（一）董事会秘书、证券事务代表聘任书或者相关董事会决议；</w:t>
      </w:r>
    </w:p>
    <w:p>
      <w:pPr>
        <w:tabs>
          <w:tab w:val="left" w:pos="1560"/>
        </w:tabs>
        <w:spacing w:line="560" w:lineRule="exact"/>
        <w:ind w:firstLine="640" w:firstLineChars="200"/>
        <w:rPr>
          <w:rFonts w:ascii="仿宋_GB2312" w:hAnsi="宋体" w:eastAsia="仿宋_GB2312"/>
          <w:sz w:val="32"/>
          <w:szCs w:val="32"/>
        </w:rPr>
      </w:pPr>
      <w:r>
        <w:rPr>
          <w:rFonts w:ascii="仿宋_GB2312" w:hAnsi="宋体" w:eastAsia="仿宋_GB2312"/>
          <w:sz w:val="32"/>
          <w:szCs w:val="32"/>
        </w:rPr>
        <w:t>（二）董事会秘书、证券事务代表的通讯方式，包括办公电话、住宅电话、移动电话、传真、通信地址及专用电子邮箱地址等</w:t>
      </w:r>
      <w:r>
        <w:rPr>
          <w:rFonts w:hint="eastAsia" w:ascii="仿宋_GB2312" w:hAnsi="宋体" w:eastAsia="仿宋_GB2312"/>
          <w:sz w:val="32"/>
          <w:szCs w:val="32"/>
        </w:rPr>
        <w:t>。</w:t>
      </w:r>
    </w:p>
    <w:p>
      <w:pPr>
        <w:tabs>
          <w:tab w:val="left" w:pos="1560"/>
        </w:tabs>
        <w:spacing w:line="560" w:lineRule="exact"/>
        <w:ind w:firstLine="640" w:firstLineChars="200"/>
        <w:rPr>
          <w:rFonts w:ascii="仿宋_GB2312" w:hAnsi="宋体" w:eastAsia="仿宋_GB2312"/>
          <w:sz w:val="32"/>
          <w:szCs w:val="32"/>
        </w:rPr>
      </w:pPr>
      <w:r>
        <w:rPr>
          <w:rFonts w:ascii="仿宋_GB2312" w:hAnsi="宋体" w:eastAsia="仿宋_GB2312"/>
          <w:sz w:val="32"/>
          <w:szCs w:val="32"/>
        </w:rPr>
        <w:t>本所接受董事会秘书、代行董事会秘书职责的人员或者证券事务代表以上市公司名义办理的信息披露与股权管理事务。</w:t>
      </w:r>
    </w:p>
    <w:p>
      <w:pPr>
        <w:pStyle w:val="36"/>
        <w:numPr>
          <w:ilvl w:val="1"/>
          <w:numId w:val="1"/>
        </w:numPr>
        <w:ind w:left="0" w:firstLine="643"/>
      </w:pPr>
      <w:bookmarkStart w:id="74" w:name="_Toc530581632"/>
      <w:bookmarkEnd w:id="74"/>
      <w:bookmarkStart w:id="75" w:name="_Toc530585997"/>
      <w:bookmarkEnd w:id="75"/>
      <w:bookmarkStart w:id="76" w:name="_Toc21697"/>
      <w:r>
        <w:rPr>
          <w:rFonts w:hint="eastAsia"/>
        </w:rPr>
        <w:t>规范运行</w:t>
      </w:r>
      <w:bookmarkEnd w:id="76"/>
    </w:p>
    <w:p>
      <w:pPr>
        <w:pStyle w:val="34"/>
        <w:numPr>
          <w:ilvl w:val="0"/>
          <w:numId w:val="18"/>
        </w:numPr>
        <w:spacing w:line="560" w:lineRule="exact"/>
        <w:ind w:left="0" w:firstLine="640"/>
        <w:rPr>
          <w:rFonts w:ascii="仿宋_GB2312" w:hAnsi="Arial Unicode MS" w:cs="Arial Unicode MS"/>
          <w:sz w:val="32"/>
          <w:szCs w:val="32"/>
        </w:rPr>
      </w:pPr>
      <w:r>
        <w:rPr>
          <w:rFonts w:hint="eastAsia" w:ascii="仿宋_GB2312"/>
          <w:sz w:val="32"/>
          <w:szCs w:val="32"/>
        </w:rPr>
        <w:t>上市公司应当积极回报股东，根据自身条件和发展阶段，制定并执行现金分红、股份回购等股东回报政策。</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公司应当综合考虑未分配利润、当期业绩等因素确定分红频次，并在具备条件的情况下增加分红频次。实施中期分红的，在最近一期经审计未分配利润基准上，合理考虑当期利润情况，稳定股东预期。</w:t>
      </w:r>
    </w:p>
    <w:p>
      <w:pPr>
        <w:spacing w:line="560" w:lineRule="exact"/>
        <w:ind w:firstLine="640" w:firstLineChars="200"/>
        <w:rPr>
          <w:rFonts w:ascii="仿宋_GB2312" w:hAnsi="Arial Unicode MS" w:eastAsia="仿宋_GB2312" w:cs="Arial Unicode MS"/>
          <w:sz w:val="32"/>
          <w:szCs w:val="32"/>
        </w:rPr>
      </w:pPr>
      <w:r>
        <w:rPr>
          <w:rFonts w:hint="eastAsia" w:ascii="仿宋_GB2312" w:hAnsi="宋体" w:eastAsia="仿宋_GB2312"/>
          <w:sz w:val="32"/>
          <w:szCs w:val="32"/>
        </w:rPr>
        <w:t>上市公司明显</w:t>
      </w:r>
      <w:r>
        <w:rPr>
          <w:rFonts w:ascii="仿宋_GB2312" w:hAnsi="宋体" w:eastAsia="仿宋_GB2312"/>
          <w:sz w:val="32"/>
          <w:szCs w:val="32"/>
        </w:rPr>
        <w:t>具备条件</w:t>
      </w:r>
      <w:r>
        <w:rPr>
          <w:rFonts w:hint="eastAsia" w:ascii="仿宋_GB2312" w:hAnsi="宋体" w:eastAsia="仿宋_GB2312"/>
          <w:sz w:val="32"/>
          <w:szCs w:val="32"/>
        </w:rPr>
        <w:t>但未</w:t>
      </w:r>
      <w:r>
        <w:rPr>
          <w:rFonts w:ascii="仿宋_GB2312" w:hAnsi="宋体" w:eastAsia="仿宋_GB2312"/>
          <w:sz w:val="32"/>
          <w:szCs w:val="32"/>
        </w:rPr>
        <w:t>进行现金分红的，</w:t>
      </w:r>
      <w:r>
        <w:rPr>
          <w:rFonts w:hint="eastAsia" w:ascii="仿宋_GB2312" w:hAnsi="宋体" w:eastAsia="仿宋_GB2312"/>
          <w:sz w:val="32"/>
          <w:szCs w:val="32"/>
        </w:rPr>
        <w:t>本所可以要求董事会、控股股东及实际控制人通过投资者说明会、公告等形式向投资者说明原因</w:t>
      </w:r>
      <w:r>
        <w:rPr>
          <w:rFonts w:ascii="仿宋_GB2312" w:hAnsi="宋体" w:eastAsia="仿宋_GB2312"/>
          <w:sz w:val="32"/>
          <w:szCs w:val="32"/>
        </w:rPr>
        <w:t>。</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上市公司应当建立内部控制制度，保证内部控制完整有效，保证财务报告的可靠性，保障公司规范运行，保护公司资产，提升经营效率。</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上市公司应当建立合理有效的绩效评价体系以及激励约束机制。</w:t>
      </w:r>
    </w:p>
    <w:p>
      <w:pPr>
        <w:numPr>
          <w:ilvl w:val="12"/>
          <w:numId w:val="0"/>
        </w:num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上市公司激励约束机制应当服务于公司战略目标和持续发展，与公司绩效、个人业绩相联系，保持高级管理人员和核心员工的稳定，不得损害公司及股东利益。</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上市公司应当建立健全股东大会、董事会、监事会和经理层制度，建立完善独立董事制度，形成权责分明、有效制衡的决策机制。</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上市公司应当在公司章程中规定股东大会的召集、召开和表决等程序，制定股东大会议事规则，并列入公司章程或者作为章程附件。</w:t>
      </w:r>
    </w:p>
    <w:p>
      <w:pPr>
        <w:spacing w:line="560" w:lineRule="exact"/>
        <w:ind w:firstLine="640"/>
        <w:rPr>
          <w:rFonts w:ascii="仿宋_GB2312" w:hAnsi="宋体" w:eastAsia="仿宋_GB2312"/>
          <w:color w:val="000000"/>
          <w:sz w:val="32"/>
          <w:szCs w:val="32"/>
        </w:rPr>
      </w:pPr>
      <w:r>
        <w:rPr>
          <w:rFonts w:hint="eastAsia" w:ascii="仿宋_GB2312" w:hAnsi="宋体" w:eastAsia="仿宋_GB2312"/>
          <w:color w:val="000000"/>
          <w:sz w:val="32"/>
          <w:szCs w:val="32"/>
        </w:rPr>
        <w:t>股东大会应当设置会场，以现场会议形式召开。现场会议时间、地点的选择应当便于股东参加。发出股东大会通知后，无正当理由，股东大会现场会议召开地点不得变更。确需变更的，召集人应当在现场会议召开日前至少2个交易日公告并说明原因。上市公司应当提供网络投票方式为股东参加股东大会提供便利。股东通过上述方式参加股东大会的，视为出席。</w:t>
      </w:r>
    </w:p>
    <w:p>
      <w:pPr>
        <w:numPr>
          <w:ilvl w:val="12"/>
          <w:numId w:val="0"/>
        </w:num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上市公司应当根据相关规则采用累积投票、征集投票等方式，保障股东表决权。</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上市公司应当依据法律法规和公司章程召开股东大会，保证股东依法行使权利。规定期限内不能召开股东大会的，应当在期限届满前披露原因及后续方案。</w:t>
      </w:r>
    </w:p>
    <w:p>
      <w:pPr>
        <w:numPr>
          <w:ilvl w:val="12"/>
          <w:numId w:val="0"/>
        </w:numPr>
        <w:snapToGrid w:val="0"/>
        <w:spacing w:line="560" w:lineRule="exact"/>
        <w:ind w:firstLine="640" w:firstLineChars="200"/>
        <w:rPr>
          <w:rFonts w:ascii="仿宋_GB2312" w:hAnsi="宋体" w:eastAsia="仿宋_GB2312"/>
          <w:sz w:val="32"/>
          <w:szCs w:val="32"/>
        </w:rPr>
      </w:pPr>
      <w:r>
        <w:rPr>
          <w:rFonts w:ascii="仿宋_GB2312" w:hAnsi="宋体" w:eastAsia="仿宋_GB2312"/>
          <w:sz w:val="32"/>
          <w:szCs w:val="32"/>
        </w:rPr>
        <w:t>股东</w:t>
      </w:r>
      <w:r>
        <w:rPr>
          <w:rFonts w:hint="eastAsia" w:ascii="仿宋_GB2312" w:hAnsi="宋体" w:eastAsia="仿宋_GB2312"/>
          <w:sz w:val="32"/>
          <w:szCs w:val="32"/>
        </w:rPr>
        <w:t>书面提议</w:t>
      </w:r>
      <w:r>
        <w:rPr>
          <w:rFonts w:ascii="仿宋_GB2312" w:hAnsi="宋体" w:eastAsia="仿宋_GB2312"/>
          <w:sz w:val="32"/>
          <w:szCs w:val="32"/>
        </w:rPr>
        <w:t>召开股东大会</w:t>
      </w:r>
      <w:r>
        <w:rPr>
          <w:rFonts w:hint="eastAsia" w:ascii="仿宋_GB2312" w:hAnsi="宋体" w:eastAsia="仿宋_GB2312"/>
          <w:sz w:val="32"/>
          <w:szCs w:val="32"/>
        </w:rPr>
        <w:t>的</w:t>
      </w:r>
      <w:r>
        <w:rPr>
          <w:rFonts w:ascii="仿宋_GB2312" w:hAnsi="宋体" w:eastAsia="仿宋_GB2312"/>
          <w:sz w:val="32"/>
          <w:szCs w:val="32"/>
        </w:rPr>
        <w:t>，公司董事会应当在规定期限内</w:t>
      </w:r>
      <w:r>
        <w:rPr>
          <w:rFonts w:hint="eastAsia" w:ascii="仿宋_GB2312" w:hAnsi="宋体" w:eastAsia="仿宋_GB2312"/>
          <w:sz w:val="32"/>
          <w:szCs w:val="32"/>
        </w:rPr>
        <w:t>书面反馈</w:t>
      </w:r>
      <w:r>
        <w:rPr>
          <w:rFonts w:ascii="仿宋_GB2312" w:hAnsi="宋体" w:eastAsia="仿宋_GB2312"/>
          <w:sz w:val="32"/>
          <w:szCs w:val="32"/>
        </w:rPr>
        <w:t>是否同意召开股东大会，不得无故拖延。股东依法自行召集股东大会</w:t>
      </w:r>
      <w:r>
        <w:rPr>
          <w:rFonts w:hint="eastAsia" w:ascii="仿宋_GB2312" w:hAnsi="宋体" w:eastAsia="仿宋_GB2312"/>
          <w:sz w:val="32"/>
          <w:szCs w:val="32"/>
        </w:rPr>
        <w:t>的</w:t>
      </w:r>
      <w:r>
        <w:rPr>
          <w:rFonts w:ascii="仿宋_GB2312" w:hAnsi="宋体" w:eastAsia="仿宋_GB2312"/>
          <w:sz w:val="32"/>
          <w:szCs w:val="32"/>
        </w:rPr>
        <w:t>，公司董事会和董事会秘书应当予以配合，并及时履行信息披露义务。</w:t>
      </w:r>
    </w:p>
    <w:p>
      <w:pPr>
        <w:numPr>
          <w:ilvl w:val="12"/>
          <w:numId w:val="0"/>
        </w:num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上市公司应当依据法律法规、公司章程，发出股东大会通知，及时披露股东决策所需的其他资料。</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上市公司召开股东大会，应当聘请律师事务所对股东大会的召集、召开程序、出席会议人员的资格、召集人资格、表决程序及表决结果等事项出具法律意见书，并与股东大会决议一并披露。</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上市公司应当在股东大会结束后，按照本所规定的格式和内容要求，及时披露股东大会决议公告。</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董事会应当确保上市公司依法合规运作，公平对待所有股东，并维护其他利益相关者的合法权益。</w:t>
      </w:r>
    </w:p>
    <w:p>
      <w:pPr>
        <w:numPr>
          <w:ilvl w:val="12"/>
          <w:numId w:val="0"/>
        </w:num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董事会的人数及人员构成应当符合法律法规的要求，董事会成员应当具备履行职责所必需的知识、技能和素质。</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上市公司应当制定董事会议事规则，并列入公司章程或者作为章程附件，报股东大会批准，确保董事会有效履行职责。</w:t>
      </w:r>
    </w:p>
    <w:p>
      <w:pPr>
        <w:pStyle w:val="9"/>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董事会决议涉及应当披露事项的，上市公司应当在相关事项公告中说明董事会审议情况；董事反对或弃权的，应当披露反对或弃权理由。</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 xml:space="preserve"> 上市公司应当在董事会中设置审计委员会。公司可以在董事会中设置战略、提名、薪酬与考核等专门委员会，按照公司章程和董事会授权履行职责。</w:t>
      </w:r>
    </w:p>
    <w:p>
      <w:pPr>
        <w:snapToGrid w:val="0"/>
        <w:spacing w:line="560" w:lineRule="exact"/>
        <w:ind w:firstLine="640"/>
        <w:rPr>
          <w:rFonts w:ascii="仿宋_GB2312" w:hAnsi="宋体" w:eastAsia="仿宋_GB2312"/>
          <w:sz w:val="32"/>
          <w:szCs w:val="32"/>
        </w:rPr>
      </w:pPr>
      <w:r>
        <w:rPr>
          <w:rFonts w:hint="eastAsia" w:ascii="仿宋_GB2312" w:hAnsi="宋体" w:eastAsia="仿宋_GB2312"/>
          <w:sz w:val="32"/>
          <w:szCs w:val="32"/>
        </w:rPr>
        <w:t>专门委员会成员全部由董事组成，其中审计委员会、提名委员会、薪酬与考核委员会中独立董事应当过半数并担任召集人；审计委员会成员应当为不在上市公司担任高级管理人员的董事，召集人应当为会计专业人士。</w:t>
      </w:r>
    </w:p>
    <w:p>
      <w:pPr>
        <w:snapToGrid w:val="0"/>
        <w:spacing w:line="560" w:lineRule="exact"/>
        <w:ind w:firstLine="640"/>
        <w:rPr>
          <w:rFonts w:ascii="仿宋_GB2312" w:hAnsi="宋体" w:eastAsia="仿宋_GB2312"/>
          <w:sz w:val="32"/>
          <w:szCs w:val="32"/>
        </w:rPr>
      </w:pPr>
      <w:r>
        <w:rPr>
          <w:rFonts w:hint="eastAsia" w:ascii="仿宋_GB2312" w:hAnsi="宋体" w:eastAsia="仿宋_GB2312"/>
          <w:sz w:val="32"/>
          <w:szCs w:val="32"/>
        </w:rPr>
        <w:t>审计委员会负责审核公司财务信息及其披露、监督及评估内外部审计工作和内部控制，下列事项应当经审计委员会全体成员过半数同意后，提交董事会审议：</w:t>
      </w:r>
    </w:p>
    <w:p>
      <w:pPr>
        <w:snapToGrid w:val="0"/>
        <w:spacing w:line="560" w:lineRule="exact"/>
        <w:ind w:firstLine="640"/>
        <w:rPr>
          <w:rFonts w:ascii="仿宋_GB2312" w:hAnsi="宋体" w:eastAsia="仿宋_GB2312"/>
          <w:sz w:val="32"/>
          <w:szCs w:val="32"/>
        </w:rPr>
      </w:pPr>
      <w:r>
        <w:rPr>
          <w:rFonts w:hint="eastAsia" w:ascii="仿宋_GB2312" w:hAnsi="宋体" w:eastAsia="仿宋_GB2312"/>
          <w:sz w:val="32"/>
          <w:szCs w:val="32"/>
        </w:rPr>
        <w:t>（一）披露财务会计报告及定期报告中的财务信息、内部控制评价报告；</w:t>
      </w:r>
    </w:p>
    <w:p>
      <w:pPr>
        <w:snapToGrid w:val="0"/>
        <w:spacing w:line="560" w:lineRule="exact"/>
        <w:ind w:firstLine="640"/>
        <w:rPr>
          <w:rFonts w:ascii="仿宋_GB2312" w:hAnsi="宋体" w:eastAsia="仿宋_GB2312"/>
          <w:sz w:val="32"/>
          <w:szCs w:val="32"/>
        </w:rPr>
      </w:pPr>
      <w:r>
        <w:rPr>
          <w:rFonts w:hint="eastAsia" w:ascii="仿宋_GB2312" w:hAnsi="宋体" w:eastAsia="仿宋_GB2312"/>
          <w:sz w:val="32"/>
          <w:szCs w:val="32"/>
        </w:rPr>
        <w:t>（二）聘用、解聘承办上市公司审计业务的会计师事务所；</w:t>
      </w:r>
    </w:p>
    <w:p>
      <w:pPr>
        <w:snapToGrid w:val="0"/>
        <w:spacing w:line="560" w:lineRule="exact"/>
        <w:ind w:firstLine="640"/>
        <w:rPr>
          <w:rFonts w:ascii="仿宋_GB2312" w:hAnsi="宋体" w:eastAsia="仿宋_GB2312"/>
          <w:sz w:val="32"/>
          <w:szCs w:val="32"/>
        </w:rPr>
      </w:pPr>
      <w:r>
        <w:rPr>
          <w:rFonts w:hint="eastAsia" w:ascii="仿宋_GB2312" w:hAnsi="宋体" w:eastAsia="仿宋_GB2312"/>
          <w:sz w:val="32"/>
          <w:szCs w:val="32"/>
        </w:rPr>
        <w:t>（三）聘任或者解聘上市公司财务负责人；</w:t>
      </w:r>
    </w:p>
    <w:p>
      <w:pPr>
        <w:snapToGrid w:val="0"/>
        <w:spacing w:line="560" w:lineRule="exact"/>
        <w:ind w:firstLine="640"/>
        <w:rPr>
          <w:rFonts w:ascii="仿宋_GB2312" w:hAnsi="宋体" w:eastAsia="仿宋_GB2312"/>
          <w:sz w:val="32"/>
          <w:szCs w:val="32"/>
        </w:rPr>
      </w:pPr>
      <w:r>
        <w:rPr>
          <w:rFonts w:hint="eastAsia" w:ascii="仿宋_GB2312" w:hAnsi="宋体" w:eastAsia="仿宋_GB2312"/>
          <w:sz w:val="32"/>
          <w:szCs w:val="32"/>
        </w:rPr>
        <w:t>（四）因会计准则变更以外的原因作出会计政策、会计估计变更或者重大会计差错更正；</w:t>
      </w:r>
    </w:p>
    <w:p>
      <w:pPr>
        <w:snapToGrid w:val="0"/>
        <w:spacing w:line="560" w:lineRule="exact"/>
        <w:ind w:firstLine="640"/>
        <w:rPr>
          <w:rFonts w:ascii="仿宋_GB2312" w:hAnsi="宋体" w:eastAsia="仿宋_GB2312"/>
          <w:sz w:val="32"/>
          <w:szCs w:val="32"/>
        </w:rPr>
      </w:pPr>
      <w:r>
        <w:rPr>
          <w:rFonts w:hint="eastAsia" w:ascii="仿宋_GB2312" w:hAnsi="宋体" w:eastAsia="仿宋_GB2312"/>
          <w:sz w:val="32"/>
          <w:szCs w:val="32"/>
        </w:rPr>
        <w:t>（五）法律法规、本所相关规定及公司章程规定的其他事项。</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提名委员会、薪酬与考核委员会应当按照法律法规、本所相关规定、公司章程和董事会的规定履行职责，就相关事项向董事会提出建议。董事会对相关建议未采纳或者未完全采纳的，应当在董事会决议中记载相关意见及未采纳的具体理由，并进行披露。</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监事会应当检查上市公司财务状况，监督上市公司规范运作和董事、高级管理人员履行职责情况。</w:t>
      </w:r>
    </w:p>
    <w:p>
      <w:pPr>
        <w:numPr>
          <w:ilvl w:val="12"/>
          <w:numId w:val="0"/>
        </w:num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监事会的人员和结构应当确保能够独立有效地履行职责。监事应当具备履职能力。上市公司董事、高级管理人员不得兼任监事。</w:t>
      </w:r>
    </w:p>
    <w:p>
      <w:pPr>
        <w:pStyle w:val="34"/>
        <w:numPr>
          <w:ilvl w:val="0"/>
          <w:numId w:val="18"/>
        </w:numPr>
        <w:spacing w:line="560" w:lineRule="exact"/>
        <w:ind w:left="0" w:firstLine="640"/>
        <w:rPr>
          <w:rFonts w:ascii="仿宋_GB2312"/>
          <w:sz w:val="32"/>
          <w:szCs w:val="32"/>
        </w:rPr>
      </w:pPr>
      <w:r>
        <w:rPr>
          <w:rFonts w:hint="eastAsia" w:ascii="仿宋_GB2312" w:hAnsi="黑体"/>
          <w:sz w:val="32"/>
          <w:szCs w:val="32"/>
        </w:rPr>
        <w:t>上市公司</w:t>
      </w:r>
      <w:r>
        <w:rPr>
          <w:rFonts w:hint="eastAsia" w:ascii="仿宋_GB2312" w:hAnsi="宋体"/>
          <w:sz w:val="32"/>
          <w:szCs w:val="32"/>
        </w:rPr>
        <w:t>监事会发现董事、高级管理人员违反法律法规、本规则和本所有关规定、公司章程的，应当向董事会通报或者向股东大会报告，并及时披露。</w:t>
      </w:r>
    </w:p>
    <w:p>
      <w:pPr>
        <w:pStyle w:val="34"/>
        <w:numPr>
          <w:ilvl w:val="0"/>
          <w:numId w:val="18"/>
        </w:numPr>
        <w:spacing w:line="560" w:lineRule="exact"/>
        <w:ind w:left="0" w:firstLine="640"/>
        <w:rPr>
          <w:rFonts w:ascii="仿宋_GB2312"/>
          <w:sz w:val="32"/>
          <w:szCs w:val="32"/>
        </w:rPr>
      </w:pPr>
      <w:r>
        <w:rPr>
          <w:rFonts w:hint="eastAsia" w:ascii="仿宋_GB2312"/>
          <w:sz w:val="32"/>
          <w:szCs w:val="32"/>
        </w:rPr>
        <w:t>上市公司应当制定监事会议事规则，</w:t>
      </w:r>
      <w:r>
        <w:rPr>
          <w:rFonts w:hint="eastAsia" w:ascii="仿宋_GB2312" w:hAnsi="宋体"/>
          <w:sz w:val="32"/>
          <w:szCs w:val="32"/>
        </w:rPr>
        <w:t>并列入公司章程或者作为章程附件，报股东大会批准，确保监事会有效履行职责。</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上市公司应当披露监事会决议公告；监事反对或弃权的，应当披露反对或弃权理由。</w:t>
      </w:r>
    </w:p>
    <w:p>
      <w:pPr>
        <w:pStyle w:val="34"/>
        <w:numPr>
          <w:ilvl w:val="0"/>
          <w:numId w:val="18"/>
        </w:numPr>
        <w:spacing w:line="560" w:lineRule="exact"/>
        <w:ind w:left="0" w:firstLine="640"/>
        <w:rPr>
          <w:rFonts w:ascii="仿宋_GB2312" w:hAnsi="Times New Roman"/>
          <w:sz w:val="32"/>
          <w:szCs w:val="32"/>
        </w:rPr>
      </w:pPr>
      <w:r>
        <w:rPr>
          <w:rFonts w:ascii="仿宋_GB2312"/>
          <w:sz w:val="32"/>
          <w:szCs w:val="32"/>
        </w:rPr>
        <w:t>上市公司应当聘请具有执行证券、期货相关业务资格</w:t>
      </w:r>
      <w:r>
        <w:rPr>
          <w:rFonts w:hint="eastAsia" w:ascii="仿宋_GB2312"/>
          <w:sz w:val="32"/>
          <w:szCs w:val="32"/>
        </w:rPr>
        <w:t>的</w:t>
      </w:r>
      <w:r>
        <w:rPr>
          <w:rFonts w:ascii="仿宋_GB2312"/>
          <w:sz w:val="32"/>
          <w:szCs w:val="32"/>
        </w:rPr>
        <w:t>会计师事务所</w:t>
      </w:r>
      <w:r>
        <w:rPr>
          <w:rFonts w:hint="eastAsia" w:ascii="仿宋_GB2312"/>
          <w:sz w:val="32"/>
          <w:szCs w:val="32"/>
        </w:rPr>
        <w:t>，</w:t>
      </w:r>
      <w:r>
        <w:rPr>
          <w:rFonts w:ascii="仿宋_GB2312"/>
          <w:sz w:val="32"/>
          <w:szCs w:val="32"/>
        </w:rPr>
        <w:t>为其提供会计报表审计、</w:t>
      </w:r>
      <w:r>
        <w:rPr>
          <w:rFonts w:hint="eastAsia" w:ascii="仿宋_GB2312"/>
          <w:sz w:val="32"/>
          <w:szCs w:val="32"/>
        </w:rPr>
        <w:t>验资</w:t>
      </w:r>
      <w:r>
        <w:rPr>
          <w:rFonts w:ascii="仿宋_GB2312"/>
          <w:sz w:val="32"/>
          <w:szCs w:val="32"/>
        </w:rPr>
        <w:t>及其他相关服务。</w:t>
      </w:r>
    </w:p>
    <w:p>
      <w:pPr>
        <w:spacing w:line="560" w:lineRule="exact"/>
        <w:ind w:firstLine="640" w:firstLineChars="200"/>
        <w:rPr>
          <w:rFonts w:ascii="仿宋_GB2312" w:eastAsia="仿宋_GB2312"/>
          <w:sz w:val="32"/>
          <w:szCs w:val="32"/>
        </w:rPr>
      </w:pPr>
      <w:r>
        <w:rPr>
          <w:rFonts w:ascii="仿宋_GB2312" w:eastAsia="仿宋_GB2312"/>
          <w:sz w:val="32"/>
          <w:szCs w:val="32"/>
        </w:rPr>
        <w:t>公司聘请或者解聘会计师事务所</w:t>
      </w:r>
      <w:r>
        <w:rPr>
          <w:rFonts w:hint="eastAsia" w:ascii="仿宋_GB2312" w:eastAsia="仿宋_GB2312"/>
          <w:sz w:val="32"/>
          <w:szCs w:val="32"/>
        </w:rPr>
        <w:t>应当</w:t>
      </w:r>
      <w:r>
        <w:rPr>
          <w:rFonts w:ascii="仿宋_GB2312" w:eastAsia="仿宋_GB2312"/>
          <w:sz w:val="32"/>
          <w:szCs w:val="32"/>
        </w:rPr>
        <w:t>由股东大会决定，董事会不得在股东大会决定前委任会计师事务所。</w:t>
      </w:r>
    </w:p>
    <w:p>
      <w:pPr>
        <w:spacing w:line="560" w:lineRule="exact"/>
        <w:ind w:firstLine="640" w:firstLineChars="200"/>
        <w:rPr>
          <w:rFonts w:ascii="仿宋_GB2312" w:eastAsia="仿宋_GB2312"/>
          <w:sz w:val="32"/>
          <w:szCs w:val="32"/>
        </w:rPr>
      </w:pPr>
      <w:r>
        <w:rPr>
          <w:rFonts w:ascii="仿宋_GB2312" w:eastAsia="仿宋_GB2312"/>
          <w:sz w:val="32"/>
          <w:szCs w:val="32"/>
        </w:rPr>
        <w:t>公司股东大会就解聘会计师事务所进行表决时，会计师事务所可以陈述意见。</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股东大会、董事会或者监事会不能正常召开，或者决议效力存在争议的，上市公司应当及时披露相关事项、争议各方的主张、公司现状等有助于投资者了解公司实际情况的信息。</w:t>
      </w:r>
    </w:p>
    <w:p>
      <w:pPr>
        <w:numPr>
          <w:ilvl w:val="12"/>
          <w:numId w:val="0"/>
        </w:num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出现前款规定情形的，上市公司董事会应当维护公司正常生产经营秩序，保护公司及全体股东利益，公平对待所有股东。</w:t>
      </w:r>
    </w:p>
    <w:p>
      <w:pPr>
        <w:pStyle w:val="34"/>
        <w:numPr>
          <w:ilvl w:val="0"/>
          <w:numId w:val="18"/>
        </w:numPr>
        <w:spacing w:line="560" w:lineRule="exact"/>
        <w:ind w:left="0" w:firstLine="640"/>
        <w:rPr>
          <w:rFonts w:ascii="仿宋_GB2312" w:hAnsi="宋体"/>
          <w:sz w:val="32"/>
          <w:szCs w:val="32"/>
        </w:rPr>
      </w:pPr>
      <w:r>
        <w:rPr>
          <w:rFonts w:hint="eastAsia" w:ascii="仿宋_GB2312" w:hAnsi="宋体"/>
          <w:sz w:val="32"/>
          <w:szCs w:val="32"/>
        </w:rPr>
        <w:t>上市公司控股子公司不得取得该上市公司发行的股份。确因特殊原因持有股份的，应当在一年内依法消除该情形。前述情形消除前，相关子公司不得行使所持股份对应的表决权。</w:t>
      </w:r>
    </w:p>
    <w:p>
      <w:pPr>
        <w:pStyle w:val="36"/>
        <w:numPr>
          <w:ilvl w:val="1"/>
          <w:numId w:val="1"/>
        </w:numPr>
        <w:ind w:left="0" w:firstLine="643"/>
      </w:pPr>
      <w:bookmarkStart w:id="77" w:name="_Toc9442"/>
      <w:r>
        <w:rPr>
          <w:rFonts w:hint="eastAsia"/>
        </w:rPr>
        <w:t>社会责任</w:t>
      </w:r>
      <w:bookmarkEnd w:id="77"/>
    </w:p>
    <w:p>
      <w:pPr>
        <w:pStyle w:val="34"/>
        <w:numPr>
          <w:ilvl w:val="0"/>
          <w:numId w:val="19"/>
        </w:numPr>
        <w:spacing w:line="560" w:lineRule="exact"/>
        <w:ind w:left="0" w:firstLine="640"/>
        <w:rPr>
          <w:rFonts w:ascii="仿宋_GB2312" w:hAnsi="宋体"/>
          <w:sz w:val="32"/>
          <w:szCs w:val="32"/>
        </w:rPr>
      </w:pPr>
      <w:r>
        <w:rPr>
          <w:rFonts w:hint="eastAsia" w:ascii="仿宋_GB2312" w:hAnsi="仿宋"/>
          <w:sz w:val="32"/>
          <w:szCs w:val="32"/>
        </w:rPr>
        <w:t>上市公司应当积极承担社会责任，维护社会公共利益，并披露保护环境、保障产品安全、维护员工与其他利益相关者合法权益等履行社会责任的情况。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上市公司应当在年度报告中披露履行社会责任的情况，并视情况编制和披露社会责任报告、可持续发展报告、环境责任报告等文件。</w:t>
      </w:r>
      <w:r>
        <w:rPr>
          <w:rFonts w:ascii="仿宋_GB2312" w:hAnsi="宋体" w:eastAsia="仿宋_GB2312"/>
          <w:sz w:val="32"/>
          <w:szCs w:val="32"/>
        </w:rPr>
        <w:t>出现违背社会责任重大事项时应当</w:t>
      </w:r>
      <w:r>
        <w:rPr>
          <w:rFonts w:hint="eastAsia" w:ascii="仿宋_GB2312" w:hAnsi="宋体" w:eastAsia="仿宋_GB2312"/>
          <w:sz w:val="32"/>
          <w:szCs w:val="32"/>
        </w:rPr>
        <w:t>充分</w:t>
      </w:r>
      <w:r>
        <w:rPr>
          <w:rFonts w:ascii="仿宋_GB2312" w:hAnsi="宋体" w:eastAsia="仿宋_GB2312"/>
          <w:sz w:val="32"/>
          <w:szCs w:val="32"/>
        </w:rPr>
        <w:t>评估潜在影响</w:t>
      </w:r>
      <w:r>
        <w:rPr>
          <w:rFonts w:hint="eastAsia" w:ascii="仿宋_GB2312" w:hAnsi="宋体" w:eastAsia="仿宋_GB2312"/>
          <w:sz w:val="32"/>
          <w:szCs w:val="32"/>
        </w:rPr>
        <w:t>并</w:t>
      </w:r>
      <w:r>
        <w:rPr>
          <w:rFonts w:ascii="仿宋_GB2312" w:hAnsi="宋体" w:eastAsia="仿宋_GB2312"/>
          <w:sz w:val="32"/>
          <w:szCs w:val="32"/>
        </w:rPr>
        <w:t>及时披露，说明原因和解决方案。</w:t>
      </w:r>
    </w:p>
    <w:p>
      <w:pPr>
        <w:pStyle w:val="34"/>
        <w:numPr>
          <w:ilvl w:val="0"/>
          <w:numId w:val="19"/>
        </w:numPr>
        <w:spacing w:line="560" w:lineRule="exact"/>
        <w:ind w:left="0" w:firstLine="640"/>
        <w:rPr>
          <w:rFonts w:ascii="仿宋_GB2312" w:hAnsi="宋体"/>
          <w:sz w:val="32"/>
          <w:szCs w:val="32"/>
        </w:rPr>
      </w:pPr>
      <w:r>
        <w:rPr>
          <w:rFonts w:hint="eastAsia" w:ascii="仿宋_GB2312" w:hAnsi="仿宋"/>
          <w:sz w:val="32"/>
          <w:szCs w:val="32"/>
        </w:rPr>
        <w:t>上市公司应当将生态环保要求融入发展战略和公司治理过程，并根据自身生产经营特点和实际情况，履行下列环境保护责任：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（一）遵守环境保护法律法规与行业标准；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（二）制订执行公司环境保护计划；</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（三）高效使用能源、水资源、原材料等自然资源；</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（四）合规处置污染物；</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（五）建设运行有效的污染防治设施；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（六）足额缴纳环境保护相关税费；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（七）保障供应链环境安全；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（八）其他应当履行的环境保护责任事项。</w:t>
      </w:r>
    </w:p>
    <w:p>
      <w:pPr>
        <w:pStyle w:val="34"/>
        <w:numPr>
          <w:ilvl w:val="0"/>
          <w:numId w:val="19"/>
        </w:numPr>
        <w:spacing w:line="560" w:lineRule="exact"/>
        <w:ind w:left="0" w:firstLine="640"/>
        <w:rPr>
          <w:rFonts w:ascii="仿宋_GB2312"/>
          <w:sz w:val="32"/>
          <w:szCs w:val="32"/>
        </w:rPr>
      </w:pPr>
      <w:r>
        <w:rPr>
          <w:rFonts w:hint="eastAsia" w:ascii="仿宋_GB2312"/>
          <w:sz w:val="32"/>
          <w:szCs w:val="32"/>
        </w:rPr>
        <w:t>上市公司应当</w:t>
      </w:r>
      <w:r>
        <w:rPr>
          <w:rFonts w:hint="eastAsia" w:ascii="仿宋_GB2312" w:hAnsi="仿宋"/>
          <w:sz w:val="32"/>
          <w:szCs w:val="32"/>
        </w:rPr>
        <w:t>根据自身生产经营模式，</w:t>
      </w:r>
      <w:r>
        <w:rPr>
          <w:rFonts w:hint="eastAsia" w:ascii="仿宋_GB2312"/>
          <w:sz w:val="32"/>
          <w:szCs w:val="32"/>
        </w:rPr>
        <w:t>履行下列生产及产品安全保障责任：</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遵守产品安全法律法规与行业标准；</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（二）建</w:t>
      </w:r>
      <w:r>
        <w:rPr>
          <w:rFonts w:hint="eastAsia" w:ascii="仿宋_GB2312" w:hAnsi="仿宋" w:eastAsia="仿宋_GB2312"/>
          <w:sz w:val="32"/>
          <w:szCs w:val="32"/>
        </w:rPr>
        <w:t>立安全可靠的生产环境和生产流程</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（三）建立产品质量安全保障机制与产品安全事故应急方案；</w:t>
      </w:r>
    </w:p>
    <w:p>
      <w:pPr>
        <w:pStyle w:val="34"/>
        <w:spacing w:line="560" w:lineRule="exact"/>
        <w:ind w:firstLine="640"/>
        <w:rPr>
          <w:rFonts w:ascii="仿宋_GB2312"/>
          <w:sz w:val="32"/>
          <w:szCs w:val="32"/>
        </w:rPr>
      </w:pPr>
      <w:r>
        <w:rPr>
          <w:rFonts w:hint="eastAsia" w:ascii="仿宋_GB2312"/>
          <w:sz w:val="32"/>
          <w:szCs w:val="32"/>
        </w:rPr>
        <w:t>（四）其他应当履行的生产与产品安全责任。</w:t>
      </w:r>
    </w:p>
    <w:p>
      <w:pPr>
        <w:pStyle w:val="34"/>
        <w:numPr>
          <w:ilvl w:val="0"/>
          <w:numId w:val="19"/>
        </w:numPr>
        <w:spacing w:line="560" w:lineRule="exact"/>
        <w:ind w:left="0" w:firstLine="640"/>
        <w:rPr>
          <w:rFonts w:ascii="仿宋_GB2312" w:hAnsi="Times New Roman"/>
          <w:sz w:val="32"/>
          <w:szCs w:val="32"/>
        </w:rPr>
      </w:pPr>
      <w:r>
        <w:rPr>
          <w:rFonts w:hint="eastAsia" w:ascii="仿宋_GB2312" w:hAnsi="Times New Roman"/>
          <w:sz w:val="32"/>
          <w:szCs w:val="32"/>
        </w:rPr>
        <w:t>上市公司应当根据员工构成情况，履行下列员工权益保障责任：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（一）建立员工聘用解雇、薪酬福利、社会保险、工作时间等管理制度及违规处理措施；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（二）建立防范职业性危害的工作环境与配套安全措施；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（三）开展必要的员工知识和职业技能培训；</w:t>
      </w:r>
    </w:p>
    <w:p>
      <w:pPr>
        <w:pStyle w:val="34"/>
        <w:spacing w:line="560" w:lineRule="exact"/>
        <w:ind w:firstLine="640"/>
        <w:rPr>
          <w:rFonts w:ascii="仿宋_GB2312"/>
          <w:sz w:val="32"/>
          <w:szCs w:val="32"/>
        </w:rPr>
      </w:pPr>
      <w:r>
        <w:rPr>
          <w:rFonts w:hint="eastAsia" w:ascii="仿宋_GB2312"/>
          <w:sz w:val="32"/>
          <w:szCs w:val="32"/>
        </w:rPr>
        <w:t>（四）其他应当履行的员工权益保护责任。</w:t>
      </w:r>
    </w:p>
    <w:p>
      <w:pPr>
        <w:pStyle w:val="34"/>
        <w:numPr>
          <w:ilvl w:val="0"/>
          <w:numId w:val="19"/>
        </w:numPr>
        <w:spacing w:line="560" w:lineRule="exact"/>
        <w:ind w:left="0" w:firstLine="640"/>
        <w:rPr>
          <w:rFonts w:ascii="仿宋_GB2312"/>
          <w:sz w:val="28"/>
          <w:szCs w:val="28"/>
        </w:rPr>
      </w:pPr>
      <w:r>
        <w:rPr>
          <w:rFonts w:hint="eastAsia" w:ascii="仿宋_GB2312" w:hAnsi="Times New Roman"/>
          <w:sz w:val="32"/>
          <w:szCs w:val="32"/>
        </w:rPr>
        <w:t>上市公司应当严格遵守科学伦理规范，尊重科学精神，恪守应有的价值观念、社会责任和行为规范，发挥科学技术的正面效应。</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上市公司应当避免研究、开发和使用危害自然环境、生命健康、公共安全、伦理道德的科学技术，不得从事侵犯个人基本权利或者损害社会公共利益的研发和经营活动。</w:t>
      </w:r>
    </w:p>
    <w:p>
      <w:pPr>
        <w:spacing w:line="560" w:lineRule="exact"/>
        <w:ind w:firstLine="640" w:firstLineChars="200"/>
        <w:rPr>
          <w:rFonts w:ascii="仿宋_GB2312" w:eastAsia="仿宋_GB2312"/>
          <w:sz w:val="28"/>
          <w:szCs w:val="28"/>
        </w:rPr>
      </w:pPr>
      <w:r>
        <w:rPr>
          <w:rFonts w:hint="eastAsia" w:ascii="仿宋_GB2312" w:eastAsia="仿宋_GB2312"/>
          <w:sz w:val="32"/>
          <w:szCs w:val="32"/>
        </w:rPr>
        <w:t>上市公司在生命科学、人工智能、信息技术、生态环境、新材料等科技创新领域开发或者使用创新技术的，应当遵循审慎和稳健原则,</w:t>
      </w:r>
      <w:r>
        <w:t xml:space="preserve"> </w:t>
      </w:r>
      <w:r>
        <w:rPr>
          <w:rFonts w:hint="eastAsia" w:ascii="仿宋_GB2312" w:eastAsia="仿宋_GB2312"/>
          <w:sz w:val="32"/>
          <w:szCs w:val="32"/>
        </w:rPr>
        <w:t>充分评估其潜在影响及可靠性。</w:t>
      </w:r>
    </w:p>
    <w:p>
      <w:pPr>
        <w:pStyle w:val="36"/>
        <w:numPr>
          <w:ilvl w:val="1"/>
          <w:numId w:val="1"/>
        </w:numPr>
        <w:ind w:left="0" w:firstLine="643"/>
      </w:pPr>
      <w:bookmarkStart w:id="78" w:name="_Toc530857360"/>
      <w:bookmarkEnd w:id="78"/>
      <w:bookmarkStart w:id="79" w:name="_Toc530857362"/>
      <w:bookmarkEnd w:id="79"/>
      <w:bookmarkStart w:id="80" w:name="_Toc530857369"/>
      <w:bookmarkEnd w:id="80"/>
      <w:bookmarkStart w:id="81" w:name="_Toc530857356"/>
      <w:bookmarkEnd w:id="81"/>
      <w:bookmarkStart w:id="82" w:name="_Toc530857363"/>
      <w:bookmarkEnd w:id="82"/>
      <w:bookmarkStart w:id="83" w:name="_Toc530857361"/>
      <w:bookmarkEnd w:id="83"/>
      <w:bookmarkStart w:id="84" w:name="_Toc530857367"/>
      <w:bookmarkEnd w:id="84"/>
      <w:bookmarkStart w:id="85" w:name="_Toc530857365"/>
      <w:bookmarkEnd w:id="85"/>
      <w:bookmarkStart w:id="86" w:name="_Toc530857371"/>
      <w:bookmarkEnd w:id="86"/>
      <w:bookmarkStart w:id="87" w:name="_Toc530857366"/>
      <w:bookmarkEnd w:id="87"/>
      <w:bookmarkStart w:id="88" w:name="_Toc530857354"/>
      <w:bookmarkEnd w:id="88"/>
      <w:bookmarkStart w:id="89" w:name="_Toc530857364"/>
      <w:bookmarkEnd w:id="89"/>
      <w:bookmarkStart w:id="90" w:name="_Toc530857353"/>
      <w:bookmarkEnd w:id="90"/>
      <w:bookmarkStart w:id="91" w:name="_Toc530857355"/>
      <w:bookmarkEnd w:id="91"/>
      <w:bookmarkStart w:id="92" w:name="_Toc530857358"/>
      <w:bookmarkEnd w:id="92"/>
      <w:bookmarkStart w:id="93" w:name="_Toc530857357"/>
      <w:bookmarkEnd w:id="93"/>
      <w:bookmarkStart w:id="94" w:name="_Toc530857372"/>
      <w:bookmarkEnd w:id="94"/>
      <w:bookmarkStart w:id="95" w:name="_Toc530857368"/>
      <w:bookmarkEnd w:id="95"/>
      <w:bookmarkStart w:id="96" w:name="_Toc530857359"/>
      <w:bookmarkEnd w:id="96"/>
      <w:bookmarkStart w:id="97" w:name="_Toc530857370"/>
      <w:bookmarkEnd w:id="97"/>
      <w:bookmarkStart w:id="98" w:name="_Toc530857373"/>
      <w:bookmarkEnd w:id="98"/>
      <w:bookmarkStart w:id="99" w:name="_Toc24166"/>
      <w:r>
        <w:rPr>
          <w:rFonts w:hint="eastAsia"/>
        </w:rPr>
        <w:t>表决权差异安排</w:t>
      </w:r>
      <w:bookmarkEnd w:id="99"/>
    </w:p>
    <w:p>
      <w:pPr>
        <w:numPr>
          <w:ilvl w:val="2"/>
          <w:numId w:val="20"/>
        </w:numPr>
        <w:tabs>
          <w:tab w:val="left" w:pos="0"/>
          <w:tab w:val="left" w:pos="1276"/>
        </w:tabs>
        <w:snapToGrid w:val="0"/>
        <w:spacing w:line="56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上市公司具有表决权差异安排的，应当充分、详细披露相关情况特别是风险、公司治理等信息，以及依法落实保护投资者合法权益规定的各项措施。</w:t>
      </w:r>
    </w:p>
    <w:p>
      <w:pPr>
        <w:numPr>
          <w:ilvl w:val="2"/>
          <w:numId w:val="20"/>
        </w:numPr>
        <w:tabs>
          <w:tab w:val="left" w:pos="0"/>
          <w:tab w:val="left" w:pos="1276"/>
        </w:tabs>
        <w:snapToGrid w:val="0"/>
        <w:spacing w:line="56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发行人首次公开发行并上市前设置表决权差异安排的，应当经出席股东大会的股东所持三分之二以上的表决权通过。</w:t>
      </w:r>
    </w:p>
    <w:p>
      <w:pPr>
        <w:tabs>
          <w:tab w:val="left" w:pos="1276"/>
          <w:tab w:val="left" w:pos="1418"/>
        </w:tabs>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发行人在首次公开发行并上市前不具有表决权差异安排的，不得在首次公开发行并上市后以任何方式设置此类安排。</w:t>
      </w:r>
    </w:p>
    <w:p>
      <w:pPr>
        <w:numPr>
          <w:ilvl w:val="2"/>
          <w:numId w:val="20"/>
        </w:numPr>
        <w:tabs>
          <w:tab w:val="left" w:pos="0"/>
          <w:tab w:val="left" w:pos="1276"/>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持有特别表决权股份的股东应当为对上市公司发展或者业务增长等作出重大贡献，并且在公司上市前及上市后持续担任公司董事的人员或者该等人员实际控制的持股主体。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持有特别表决权股份的股东在上市公司中拥有权益的股份合计应当达到公司全部已发行有表决权股份10%以上。</w:t>
      </w:r>
    </w:p>
    <w:p>
      <w:pPr>
        <w:numPr>
          <w:ilvl w:val="2"/>
          <w:numId w:val="20"/>
        </w:numPr>
        <w:tabs>
          <w:tab w:val="left" w:pos="0"/>
          <w:tab w:val="left" w:pos="1276"/>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上市公司章程应当规定每份特别表决权股份的表决权数量。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每份特别表决权股份的表决权数量应当相同，且不得超过每份普通股份的表决权数量的10倍。</w:t>
      </w:r>
    </w:p>
    <w:p>
      <w:pPr>
        <w:numPr>
          <w:ilvl w:val="2"/>
          <w:numId w:val="20"/>
        </w:numPr>
        <w:tabs>
          <w:tab w:val="left" w:pos="0"/>
          <w:tab w:val="left" w:pos="1276"/>
        </w:tabs>
        <w:snapToGrid w:val="0"/>
        <w:spacing w:line="560" w:lineRule="exact"/>
        <w:ind w:left="0" w:firstLine="640" w:firstLineChars="200"/>
        <w:rPr>
          <w:rFonts w:ascii="仿宋_GB2312" w:eastAsia="仿宋_GB2312"/>
          <w:sz w:val="32"/>
          <w:szCs w:val="32"/>
        </w:rPr>
      </w:pPr>
      <w:r>
        <w:rPr>
          <w:rFonts w:hint="eastAsia" w:ascii="仿宋_GB2312" w:hAnsi="仿宋" w:eastAsia="仿宋_GB2312"/>
          <w:sz w:val="32"/>
          <w:szCs w:val="32"/>
        </w:rPr>
        <w:t>除公司章程规定的表决权差异外，普通股份与特别表决权股份具有的其他股东权利应当完全相同。</w:t>
      </w:r>
    </w:p>
    <w:p>
      <w:pPr>
        <w:numPr>
          <w:ilvl w:val="2"/>
          <w:numId w:val="20"/>
        </w:numPr>
        <w:tabs>
          <w:tab w:val="left" w:pos="0"/>
          <w:tab w:val="left" w:pos="1276"/>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上市公司股票在本所上市后，除同比例配股、转增股本情形外，不得在境内外发行特别表决权股份，不得提高特别表决权比例。</w:t>
      </w:r>
    </w:p>
    <w:p>
      <w:pPr>
        <w:tabs>
          <w:tab w:val="left" w:pos="1276"/>
          <w:tab w:val="left" w:pos="1418"/>
        </w:tabs>
        <w:snapToGrid w:val="0"/>
        <w:spacing w:line="560" w:lineRule="exact"/>
        <w:rPr>
          <w:rFonts w:ascii="仿宋_GB2312" w:eastAsia="仿宋_GB2312"/>
          <w:sz w:val="32"/>
          <w:szCs w:val="32"/>
        </w:rPr>
      </w:pPr>
      <w:r>
        <w:rPr>
          <w:rFonts w:hint="eastAsia" w:ascii="仿宋_GB2312" w:eastAsia="仿宋_GB2312"/>
          <w:sz w:val="32"/>
          <w:szCs w:val="32"/>
        </w:rPr>
        <w:t xml:space="preserve">    上市公司因股份回购等原因，可能导致特别表决权比例提高的，应当同时采取将相应数量特别表决权股份转换为普通股份等措施，保证特别表决权比例不高于原有水平。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本规则所称特别表决权比例，是指全部特别表决权股份的表决权数量占上市公司全部已发行股份表决权数量的比例。</w:t>
      </w:r>
    </w:p>
    <w:p>
      <w:pPr>
        <w:numPr>
          <w:ilvl w:val="2"/>
          <w:numId w:val="20"/>
        </w:numPr>
        <w:tabs>
          <w:tab w:val="left" w:pos="0"/>
          <w:tab w:val="left" w:pos="1276"/>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应当保证普通表决权比例不低于10%；单独或者合计持有公司10%以上已发行有表决权股份的股东有权提议召开临时股东大会；单独或者合计持有公司3%以上已发行有表决权股份的股东有权提出股东大会议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本规则所称普通表决权比例，是指全部普通股份的表决权数量占上市公司全部已发行股份表决权数量的比例。</w:t>
      </w:r>
    </w:p>
    <w:p>
      <w:pPr>
        <w:numPr>
          <w:ilvl w:val="2"/>
          <w:numId w:val="20"/>
        </w:numPr>
        <w:tabs>
          <w:tab w:val="left" w:pos="0"/>
          <w:tab w:val="left" w:pos="1276"/>
        </w:tabs>
        <w:snapToGrid w:val="0"/>
        <w:spacing w:line="560" w:lineRule="exact"/>
        <w:ind w:left="0" w:firstLine="640" w:firstLineChars="200"/>
        <w:rPr>
          <w:rFonts w:ascii="仿宋_GB2312" w:hAnsi="仿宋_GB2312" w:eastAsia="仿宋_GB2312" w:cs="仿宋_GB2312"/>
          <w:sz w:val="32"/>
          <w:szCs w:val="32"/>
        </w:rPr>
      </w:pPr>
      <w:r>
        <w:rPr>
          <w:rFonts w:hint="eastAsia" w:ascii="仿宋_GB2312" w:eastAsia="仿宋_GB2312"/>
          <w:sz w:val="32"/>
          <w:szCs w:val="32"/>
        </w:rPr>
        <w:t>特别表决权股份不得在二级市场进行交易，但可以按照本所有关规定进行转让。</w:t>
      </w:r>
    </w:p>
    <w:p>
      <w:pPr>
        <w:numPr>
          <w:ilvl w:val="2"/>
          <w:numId w:val="20"/>
        </w:numPr>
        <w:tabs>
          <w:tab w:val="left" w:pos="0"/>
          <w:tab w:val="left" w:pos="1276"/>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出现下列情形之一的，特别表决权股份应当按照1:1的比例转换为普通股份：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（一）持有特别表决权股份的股东不再符合本规则第4.5.3条规定的资格和最低持股要求，或者丧失相应履职能力、离任、死亡；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（二）实际持有特别表决权股份的股东失去对相关持股主体的实际控制；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（三）持有特别表决权股份的股东向他人转让所持有的特别表决权股份，或者将特别表决权股份的表决权委托他人行使；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（四）公司的控制权发生变更。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发生前款第四项情形的，上市公司已发行的全部特别表决权股份均应当转换为普通股份。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发生本条第一款情形的，特别表决权股份自相关情形发生时即转换为普通股份，相关股东应当立即通知上市公司，上市公司应当及时披露具体情形、发生时间、转换为普通股份的特别表决权股份数量、剩余特别表决权股份数量等情况。</w:t>
      </w:r>
    </w:p>
    <w:p>
      <w:pPr>
        <w:numPr>
          <w:ilvl w:val="2"/>
          <w:numId w:val="20"/>
        </w:numPr>
        <w:tabs>
          <w:tab w:val="left" w:pos="0"/>
          <w:tab w:val="left" w:pos="1276"/>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上市公司股东对下列事项行使表决权时，每一特别表决权股份享有的表决权数量应当与每一普通股份的表决权数量相同：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（一）对公司章程作出修改；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（二）改变特别表决权股份享有的表决权数量；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（三）聘请或者解聘独立董事；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（四）聘请或者解聘</w:t>
      </w:r>
      <w:r>
        <w:rPr>
          <w:rFonts w:hint="eastAsia" w:ascii="仿宋_GB2312" w:hAnsi="宋体" w:eastAsia="仿宋_GB2312"/>
          <w:sz w:val="32"/>
          <w:szCs w:val="32"/>
        </w:rPr>
        <w:t>为上市公司定期报告出具审计意见的会计师事务所</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（五）公司合并、分立、解散或者变更公司形式。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上市公司章程应当规定，股东大会对前款第二项作出决议，应当经过不低于出席会议的股东所持表决权的三分之二以上通过，但根据第4.5.6条、第4.5.9条的规定，将相应数量特别表决权股份转换为普通股份的除外。</w:t>
      </w:r>
    </w:p>
    <w:p>
      <w:pPr>
        <w:numPr>
          <w:ilvl w:val="2"/>
          <w:numId w:val="20"/>
        </w:numPr>
        <w:tabs>
          <w:tab w:val="left" w:pos="0"/>
          <w:tab w:val="left" w:pos="1276"/>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上市公司具有表决权差异安排的，应当在定期报告中披露该等安排在报告期内的实施和变化情况，以及该等安排下保护投资者合法权益有关措施的实施情况。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前款规定事项出现重大变化或者调整的，公司和相关信息披露义务人应当及时予以披露。</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上市公司应当在股东大会通知中列明持有特别表决权股份的股东、所持特别表决权股份数量及对应的表决权数量、股东大会议案是否涉及第4.5.10条规定事项等情况。</w:t>
      </w:r>
    </w:p>
    <w:p>
      <w:pPr>
        <w:numPr>
          <w:ilvl w:val="2"/>
          <w:numId w:val="20"/>
        </w:numPr>
        <w:tabs>
          <w:tab w:val="left" w:pos="0"/>
          <w:tab w:val="left" w:pos="1276"/>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上市公司具有表决权差异安排的，监事会应当在年度报告中，就下列事项出具专项意见：</w:t>
      </w:r>
    </w:p>
    <w:p>
      <w:pPr>
        <w:tabs>
          <w:tab w:val="left" w:pos="1276"/>
          <w:tab w:val="left" w:pos="1418"/>
        </w:tabs>
        <w:snapToGrid w:val="0"/>
        <w:spacing w:line="560" w:lineRule="exact"/>
        <w:rPr>
          <w:rFonts w:ascii="仿宋_GB2312" w:eastAsia="仿宋_GB2312"/>
          <w:sz w:val="32"/>
          <w:szCs w:val="32"/>
        </w:rPr>
      </w:pPr>
      <w:r>
        <w:rPr>
          <w:rFonts w:hint="eastAsia" w:ascii="仿宋_GB2312" w:eastAsia="仿宋_GB2312"/>
          <w:sz w:val="32"/>
          <w:szCs w:val="32"/>
        </w:rPr>
        <w:t xml:space="preserve">    （一）持有特别表决权股份的股东是否持续符合本规则第4.5.3条的要求；</w:t>
      </w:r>
    </w:p>
    <w:p>
      <w:pPr>
        <w:tabs>
          <w:tab w:val="left" w:pos="1276"/>
          <w:tab w:val="left" w:pos="1418"/>
        </w:tabs>
        <w:snapToGrid w:val="0"/>
        <w:spacing w:line="560" w:lineRule="exact"/>
        <w:ind w:firstLine="640"/>
        <w:rPr>
          <w:rFonts w:ascii="仿宋_GB2312" w:eastAsia="仿宋_GB2312"/>
          <w:sz w:val="32"/>
          <w:szCs w:val="32"/>
        </w:rPr>
      </w:pPr>
      <w:r>
        <w:rPr>
          <w:rFonts w:hint="eastAsia" w:ascii="仿宋_GB2312" w:eastAsia="仿宋_GB2312"/>
          <w:sz w:val="32"/>
          <w:szCs w:val="32"/>
        </w:rPr>
        <w:t>（二）特别表决权股份是否出现本规则第4.5.9条规定的情形并及时转换为普通股份；</w:t>
      </w:r>
    </w:p>
    <w:p>
      <w:pPr>
        <w:tabs>
          <w:tab w:val="left" w:pos="1276"/>
          <w:tab w:val="left" w:pos="1418"/>
        </w:tabs>
        <w:snapToGrid w:val="0"/>
        <w:spacing w:line="560" w:lineRule="exact"/>
        <w:ind w:firstLine="640"/>
        <w:rPr>
          <w:rFonts w:ascii="仿宋_GB2312" w:eastAsia="仿宋_GB2312"/>
          <w:sz w:val="32"/>
          <w:szCs w:val="32"/>
        </w:rPr>
      </w:pPr>
      <w:r>
        <w:rPr>
          <w:rFonts w:hint="eastAsia" w:ascii="仿宋_GB2312" w:eastAsia="仿宋_GB2312"/>
          <w:sz w:val="32"/>
          <w:szCs w:val="32"/>
        </w:rPr>
        <w:t>（三）上市公司特别表决权比例是否持续符合本规则的规定；</w:t>
      </w:r>
    </w:p>
    <w:p>
      <w:pPr>
        <w:tabs>
          <w:tab w:val="left" w:pos="1276"/>
          <w:tab w:val="left" w:pos="1418"/>
        </w:tabs>
        <w:snapToGrid w:val="0"/>
        <w:spacing w:line="560" w:lineRule="exact"/>
        <w:ind w:firstLine="640"/>
        <w:rPr>
          <w:rFonts w:ascii="仿宋_GB2312" w:eastAsia="仿宋_GB2312"/>
          <w:sz w:val="32"/>
          <w:szCs w:val="32"/>
        </w:rPr>
      </w:pPr>
      <w:r>
        <w:rPr>
          <w:rFonts w:hint="eastAsia" w:ascii="仿宋_GB2312" w:eastAsia="仿宋_GB2312"/>
          <w:sz w:val="32"/>
          <w:szCs w:val="32"/>
        </w:rPr>
        <w:t>（四）持有特别表决权股份的股东是否存在滥用特别表决权或者其他损害投资者合法权益的情形；</w:t>
      </w:r>
    </w:p>
    <w:p>
      <w:pPr>
        <w:tabs>
          <w:tab w:val="left" w:pos="1276"/>
          <w:tab w:val="left" w:pos="1418"/>
        </w:tabs>
        <w:snapToGrid w:val="0"/>
        <w:spacing w:line="560" w:lineRule="exact"/>
        <w:ind w:firstLine="640"/>
        <w:rPr>
          <w:rFonts w:ascii="仿宋_GB2312" w:eastAsia="仿宋_GB2312"/>
          <w:sz w:val="32"/>
          <w:szCs w:val="32"/>
        </w:rPr>
      </w:pPr>
      <w:r>
        <w:rPr>
          <w:rFonts w:hint="eastAsia" w:ascii="仿宋_GB2312" w:eastAsia="仿宋_GB2312"/>
          <w:sz w:val="32"/>
          <w:szCs w:val="32"/>
        </w:rPr>
        <w:t>（五）公司及持有特别表决权股份的股东遵守本章其他规定的情况。</w:t>
      </w:r>
    </w:p>
    <w:p>
      <w:pPr>
        <w:numPr>
          <w:ilvl w:val="2"/>
          <w:numId w:val="20"/>
        </w:numPr>
        <w:tabs>
          <w:tab w:val="left" w:pos="0"/>
          <w:tab w:val="left" w:pos="1276"/>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持有特别表决权股份的股东应当按照所适用的法律法规以及公司章程行使权利，不得滥用特别表决权，不得利用特别表决权损害投资者的合法权益。</w:t>
      </w:r>
    </w:p>
    <w:p>
      <w:pPr>
        <w:tabs>
          <w:tab w:val="left" w:pos="1276"/>
          <w:tab w:val="left" w:pos="1418"/>
        </w:tabs>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出现前款情形，损害投资者合法权益的，本所可以要求公司或者持有特别表决权股份的股东予以改正。</w:t>
      </w:r>
    </w:p>
    <w:p>
      <w:pPr>
        <w:numPr>
          <w:ilvl w:val="2"/>
          <w:numId w:val="20"/>
        </w:numPr>
        <w:tabs>
          <w:tab w:val="left" w:pos="0"/>
          <w:tab w:val="left" w:pos="1276"/>
        </w:tabs>
        <w:snapToGrid w:val="0"/>
        <w:spacing w:line="560" w:lineRule="exact"/>
        <w:ind w:left="0" w:firstLine="640" w:firstLineChars="200"/>
        <w:rPr>
          <w:sz w:val="32"/>
          <w:szCs w:val="32"/>
        </w:rPr>
      </w:pPr>
      <w:r>
        <w:rPr>
          <w:rFonts w:hint="eastAsia" w:ascii="仿宋_GB2312" w:hAnsi="黑体" w:eastAsia="仿宋_GB2312"/>
          <w:sz w:val="32"/>
          <w:szCs w:val="32"/>
        </w:rPr>
        <w:t>上市公司或者持有特别表决权股份的股东应当按照本所及中国结算的有关规定，办理特别表决权股份登记和转换成普通股份登记事宜。</w:t>
      </w:r>
    </w:p>
    <w:p>
      <w:pPr>
        <w:tabs>
          <w:tab w:val="left" w:pos="1276"/>
          <w:tab w:val="left" w:pos="1418"/>
        </w:tabs>
        <w:snapToGrid w:val="0"/>
        <w:spacing w:line="560" w:lineRule="exact"/>
        <w:rPr>
          <w:sz w:val="32"/>
          <w:szCs w:val="32"/>
        </w:rPr>
      </w:pPr>
    </w:p>
    <w:p>
      <w:pPr>
        <w:pStyle w:val="81"/>
        <w:rPr>
          <w:b/>
        </w:rPr>
      </w:pPr>
      <w:bookmarkStart w:id="100" w:name="_Toc144"/>
      <w:r>
        <w:rPr>
          <w:rFonts w:hint="eastAsia"/>
        </w:rPr>
        <w:t>信息披露一般规定</w:t>
      </w:r>
      <w:bookmarkEnd w:id="100"/>
    </w:p>
    <w:p>
      <w:pPr>
        <w:pStyle w:val="36"/>
        <w:numPr>
          <w:ilvl w:val="1"/>
          <w:numId w:val="1"/>
        </w:numPr>
        <w:ind w:left="0" w:firstLine="643"/>
      </w:pPr>
      <w:bookmarkStart w:id="101" w:name="_Toc2207"/>
      <w:r>
        <w:rPr>
          <w:rFonts w:hint="eastAsia"/>
        </w:rPr>
        <w:t>信息披露基本原则</w:t>
      </w:r>
      <w:bookmarkEnd w:id="101"/>
    </w:p>
    <w:p>
      <w:pPr>
        <w:numPr>
          <w:ilvl w:val="1"/>
          <w:numId w:val="21"/>
        </w:numPr>
        <w:tabs>
          <w:tab w:val="left" w:pos="1080"/>
          <w:tab w:val="left" w:pos="1560"/>
          <w:tab w:val="clear" w:pos="992"/>
        </w:tabs>
        <w:autoSpaceDE w:val="0"/>
        <w:autoSpaceDN w:val="0"/>
        <w:adjustRightInd w:val="0"/>
        <w:snapToGrid w:val="0"/>
        <w:spacing w:line="560" w:lineRule="exact"/>
        <w:ind w:left="0" w:firstLine="640" w:firstLineChars="200"/>
        <w:rPr>
          <w:rFonts w:ascii="仿宋_GB2312" w:eastAsia="仿宋_GB2312"/>
          <w:bCs/>
          <w:sz w:val="32"/>
          <w:szCs w:val="32"/>
        </w:rPr>
      </w:pPr>
      <w:r>
        <w:rPr>
          <w:rFonts w:hint="eastAsia" w:ascii="仿宋_GB2312" w:eastAsia="仿宋_GB2312"/>
          <w:sz w:val="32"/>
          <w:szCs w:val="32"/>
        </w:rPr>
        <w:t>上市公司和相关信息披露义务人应当披露所有可能对上市公司股票交易价格产生较大影响或者对投资决策有较大影响的事项（以下简称重大事件或者重大事项）。</w:t>
      </w:r>
    </w:p>
    <w:p>
      <w:pPr>
        <w:numPr>
          <w:ilvl w:val="1"/>
          <w:numId w:val="21"/>
        </w:numPr>
        <w:tabs>
          <w:tab w:val="left" w:pos="1080"/>
          <w:tab w:val="clear" w:pos="992"/>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上市公司和相关信息披露义务人应当及时、公平地披露信息，保证所披露信息的真实、准确、完整。</w:t>
      </w:r>
    </w:p>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市公司的董事、监事、高级管理人员应当保证公司及时、公平地披露信息，以及信息披露内容的真实、准确、完整，不存在虚假记载、误导性陈述或者重大遗漏。董事、监事、高级管理人员对公告内容存在异议的，应当在公告中作出相应声明并说明理由。</w:t>
      </w:r>
    </w:p>
    <w:p>
      <w:pPr>
        <w:numPr>
          <w:ilvl w:val="1"/>
          <w:numId w:val="21"/>
        </w:numPr>
        <w:tabs>
          <w:tab w:val="left" w:pos="1080"/>
          <w:tab w:val="clear" w:pos="992"/>
        </w:tabs>
        <w:autoSpaceDE w:val="0"/>
        <w:autoSpaceDN w:val="0"/>
        <w:adjustRightInd w:val="0"/>
        <w:snapToGrid w:val="0"/>
        <w:spacing w:line="560" w:lineRule="exact"/>
        <w:ind w:left="0" w:firstLine="640" w:firstLineChars="200"/>
        <w:rPr>
          <w:rFonts w:ascii="仿宋_GB2312" w:eastAsia="仿宋_GB2312"/>
          <w:bCs/>
          <w:sz w:val="32"/>
          <w:szCs w:val="32"/>
        </w:rPr>
      </w:pPr>
      <w:r>
        <w:rPr>
          <w:rFonts w:hint="eastAsia" w:ascii="仿宋_GB2312" w:eastAsia="仿宋_GB2312"/>
          <w:sz w:val="32"/>
          <w:szCs w:val="32"/>
        </w:rPr>
        <w:t>上市公司和相关信息披露义务人披露信息，应当以客观事实或者具有事实基础的判断和意见为依据，如实反映实际情况，不得有虚假记载。</w:t>
      </w:r>
    </w:p>
    <w:p>
      <w:pPr>
        <w:numPr>
          <w:ilvl w:val="1"/>
          <w:numId w:val="21"/>
        </w:numPr>
        <w:tabs>
          <w:tab w:val="left" w:pos="1080"/>
          <w:tab w:val="clear" w:pos="992"/>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上市公司和相关信息披露义务人披露信息，应当客观，不得夸大其辞，不得有误导性陈述。</w:t>
      </w:r>
    </w:p>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披露未来经营和财务状况等预测性信息的，应当合理、谨慎、客观。</w:t>
      </w:r>
    </w:p>
    <w:p>
      <w:pPr>
        <w:numPr>
          <w:ilvl w:val="1"/>
          <w:numId w:val="21"/>
        </w:numPr>
        <w:tabs>
          <w:tab w:val="left" w:pos="1080"/>
          <w:tab w:val="clear" w:pos="992"/>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 xml:space="preserve">上市公司和相关信息披露义务人披露信息，应当内容完整，充分披露对上市公司有重大影响的信息，揭示可能产生的重大风险，不得有选择地披露部分信息，不得有重大遗漏。  </w:t>
      </w:r>
    </w:p>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信息披露文件应当材料齐备，格式符合规定要求。</w:t>
      </w:r>
    </w:p>
    <w:p>
      <w:pPr>
        <w:numPr>
          <w:ilvl w:val="1"/>
          <w:numId w:val="21"/>
        </w:numPr>
        <w:tabs>
          <w:tab w:val="left" w:pos="1080"/>
          <w:tab w:val="clear" w:pos="992"/>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上市公司和相关信息披露义务人应当同时向所有投资者公开披露重大信息，确保所有投资者可以平等获取信息，不得向单个或部分投资者透露或泄露。</w:t>
      </w:r>
    </w:p>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上市公司和相关信息披露义务人通过业绩说明会、分析师会议、路演、接受投资者调研等形式，与任何机构和个人进行沟通时，不得提供公司尚未披露的重大信息。</w:t>
      </w:r>
    </w:p>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上市公司向股东、实际控制人及其他第三方报送文件，涉及尚未公开的重大信息的，应当依照本规则披露。</w:t>
      </w:r>
    </w:p>
    <w:p>
      <w:pPr>
        <w:numPr>
          <w:ilvl w:val="1"/>
          <w:numId w:val="21"/>
        </w:numPr>
        <w:tabs>
          <w:tab w:val="left" w:pos="1080"/>
          <w:tab w:val="clear" w:pos="992"/>
        </w:tabs>
        <w:autoSpaceDE w:val="0"/>
        <w:autoSpaceDN w:val="0"/>
        <w:adjustRightInd w:val="0"/>
        <w:snapToGrid w:val="0"/>
        <w:spacing w:line="560" w:lineRule="exact"/>
        <w:ind w:left="0" w:firstLine="640" w:firstLineChars="200"/>
        <w:rPr>
          <w:rFonts w:ascii="仿宋_GB2312" w:eastAsia="仿宋_GB2312"/>
          <w:sz w:val="32"/>
          <w:szCs w:val="32"/>
        </w:rPr>
      </w:pPr>
      <w:bookmarkStart w:id="102" w:name="OLE_LINK1"/>
      <w:r>
        <w:rPr>
          <w:rFonts w:hint="eastAsia" w:ascii="仿宋_GB2312" w:eastAsia="仿宋_GB2312"/>
          <w:sz w:val="32"/>
          <w:szCs w:val="32"/>
        </w:rPr>
        <w:t>出现下列情形之一的，上市公司和相关信息披露义务人应当及时披露重大事项：</w:t>
      </w:r>
    </w:p>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（一）董事会或者监事会已就该重大事项形成决议；</w:t>
      </w:r>
    </w:p>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（二）有关各方已就该重大事项签署意向书或者协议；</w:t>
      </w:r>
    </w:p>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（三）董事、监事或者高级管理人员已知悉该重大事项；</w:t>
      </w:r>
    </w:p>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（四）其他发生重大事项的情形。</w:t>
      </w:r>
    </w:p>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市公司筹划的重大事项存在较大不确定性，立即披露可能会损害公司利益或者误导投资者，且有关内幕信息知情人已书面承诺保密的，公司可以暂不披露，但最迟应当在该重大事项形成最终决议、签署最终协议、交易确定能够达成时对外披露。</w:t>
      </w:r>
    </w:p>
    <w:bookmarkEnd w:id="102"/>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相关信息确实难以保密、已经泄露或者出现市场传闻，导致公司股票交易价格发生大幅波动的，公司应当立即披露相关筹划和进展情况。</w:t>
      </w:r>
    </w:p>
    <w:p>
      <w:pPr>
        <w:pStyle w:val="36"/>
        <w:numPr>
          <w:ilvl w:val="1"/>
          <w:numId w:val="1"/>
        </w:numPr>
        <w:ind w:left="0" w:firstLine="643"/>
      </w:pPr>
      <w:bookmarkStart w:id="103" w:name="_Toc21695"/>
      <w:r>
        <w:rPr>
          <w:rFonts w:hint="eastAsia"/>
        </w:rPr>
        <w:t>信息披露一般要求</w:t>
      </w:r>
      <w:bookmarkEnd w:id="103"/>
    </w:p>
    <w:p>
      <w:pPr>
        <w:numPr>
          <w:ilvl w:val="1"/>
          <w:numId w:val="22"/>
        </w:numPr>
        <w:tabs>
          <w:tab w:val="left" w:pos="108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上市公司应当披露能够充分反映公司业务、技术、财务、公司治理、竞争优势、行业趋势、产业政策等方面的重大信息，充分揭示上市公司的风险因素和投资价值，便于投资者合理决策。</w:t>
      </w:r>
    </w:p>
    <w:p>
      <w:pPr>
        <w:numPr>
          <w:ilvl w:val="1"/>
          <w:numId w:val="22"/>
        </w:numPr>
        <w:tabs>
          <w:tab w:val="left" w:pos="108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上市公司应当对业绩波动、行业风险、公司治理等相关事项进行针对性信息披露，并持续披露科研水平、科研人员、科研资金投入、募集资金重点投向领域等重大信息。</w:t>
      </w:r>
    </w:p>
    <w:p>
      <w:pPr>
        <w:numPr>
          <w:ilvl w:val="1"/>
          <w:numId w:val="22"/>
        </w:numPr>
        <w:tabs>
          <w:tab w:val="left" w:pos="108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上市公司筹划重大事项，持续时间较长的，应当按照重大性原则，分阶段披露进展情况，及时提示相关风险，不得仅以相关事项结果尚不确定为由不予披露。</w:t>
      </w:r>
    </w:p>
    <w:p>
      <w:pPr>
        <w:numPr>
          <w:ilvl w:val="1"/>
          <w:numId w:val="22"/>
        </w:numPr>
        <w:tabs>
          <w:tab w:val="left" w:pos="108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上市公司和相关信息披露义务人认为相关信息可能影响公司股票交易价格或者有助于投资者决策，但不属于本规则要求披露的信息，可以自愿披露。</w:t>
      </w:r>
    </w:p>
    <w:p>
      <w:pPr>
        <w:tabs>
          <w:tab w:val="left" w:pos="108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上市公司和相关信息披露义务人自愿披露信息，应当审慎、客观，不得利用该等信息不当影响公司股票交易价格、从事内幕交易或者其他违法违规行为。</w:t>
      </w:r>
    </w:p>
    <w:p>
      <w:pPr>
        <w:tabs>
          <w:tab w:val="left" w:pos="108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上市公司和相关信息披露义务人按照本条披露信息的，在发生类似事件时，应当按照同一标准予以披露，避免选择性信息披露。</w:t>
      </w:r>
    </w:p>
    <w:p>
      <w:pPr>
        <w:numPr>
          <w:ilvl w:val="1"/>
          <w:numId w:val="22"/>
        </w:numPr>
        <w:tabs>
          <w:tab w:val="left" w:pos="0"/>
          <w:tab w:val="clear" w:pos="992"/>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eastAsia="仿宋_GB2312"/>
          <w:sz w:val="32"/>
          <w:szCs w:val="32"/>
        </w:rPr>
        <w:t>上市公司的公告文稿应当重点突出、逻辑清晰、语言浅白、简明易懂，避免使用大量专业术语、过于晦涩的表达方式和外文及其缩写，避免模糊、模板化和冗余重复的信息，不得含有祝贺、宣传、广告、恭维、诋毁等性质的词语。</w:t>
      </w:r>
    </w:p>
    <w:p>
      <w:pPr>
        <w:tabs>
          <w:tab w:val="left" w:pos="1080"/>
        </w:tabs>
        <w:autoSpaceDE w:val="0"/>
        <w:autoSpaceDN w:val="0"/>
        <w:snapToGrid w:val="0"/>
        <w:spacing w:line="560" w:lineRule="exact"/>
        <w:ind w:firstLine="640" w:firstLineChars="200"/>
        <w:rPr>
          <w:rFonts w:ascii="仿宋_GB2312" w:hAnsi="宋体" w:eastAsia="仿宋_GB2312"/>
          <w:sz w:val="32"/>
          <w:szCs w:val="32"/>
        </w:rPr>
      </w:pPr>
      <w:r>
        <w:rPr>
          <w:rFonts w:hint="eastAsia" w:ascii="仿宋_GB2312" w:eastAsia="仿宋_GB2312"/>
          <w:sz w:val="32"/>
          <w:szCs w:val="32"/>
        </w:rPr>
        <w:t>公告文稿</w:t>
      </w:r>
      <w:r>
        <w:rPr>
          <w:rFonts w:hint="eastAsia" w:ascii="仿宋_GB2312" w:hAnsi="宋体" w:eastAsia="仿宋_GB2312"/>
          <w:sz w:val="32"/>
          <w:szCs w:val="32"/>
        </w:rPr>
        <w:t>应当采用中文文本，同时采用外文文本的，应当保证两种文本内容的一致。两种文本不一致的，以中文文本为准。</w:t>
      </w:r>
    </w:p>
    <w:p>
      <w:pPr>
        <w:numPr>
          <w:ilvl w:val="1"/>
          <w:numId w:val="22"/>
        </w:numPr>
        <w:tabs>
          <w:tab w:val="left" w:pos="0"/>
          <w:tab w:val="clear" w:pos="992"/>
        </w:tabs>
        <w:autoSpaceDE w:val="0"/>
        <w:autoSpaceDN w:val="0"/>
        <w:adjustRightInd w:val="0"/>
        <w:snapToGrid w:val="0"/>
        <w:spacing w:line="560" w:lineRule="exact"/>
        <w:ind w:left="0" w:firstLine="640" w:firstLineChars="200"/>
        <w:rPr>
          <w:rFonts w:ascii="仿宋_GB2312" w:eastAsia="仿宋_GB2312"/>
          <w:bCs/>
          <w:sz w:val="32"/>
          <w:szCs w:val="32"/>
        </w:rPr>
      </w:pPr>
      <w:r>
        <w:rPr>
          <w:rFonts w:hint="eastAsia" w:ascii="仿宋_GB2312" w:hAnsi="宋体" w:eastAsia="仿宋_GB2312"/>
          <w:sz w:val="32"/>
          <w:szCs w:val="32"/>
        </w:rPr>
        <w:t>上市公司合并报表范围内的子公司及其他主体发生本规则规定的重大事项，视同上市公司发生的重大事项，适用本规则。</w:t>
      </w:r>
    </w:p>
    <w:p>
      <w:pPr>
        <w:tabs>
          <w:tab w:val="left" w:pos="1080"/>
        </w:tabs>
        <w:autoSpaceDE w:val="0"/>
        <w:autoSpaceDN w:val="0"/>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上市公司参股公司发生本规则规定的重大事项，可能对上市公司股票交易价格产生较大影响的，上市公司应当参照适用本规则履行信息披露义务。</w:t>
      </w:r>
    </w:p>
    <w:p>
      <w:pPr>
        <w:numPr>
          <w:ilvl w:val="1"/>
          <w:numId w:val="22"/>
        </w:numPr>
        <w:tabs>
          <w:tab w:val="left" w:pos="1080"/>
        </w:tabs>
        <w:autoSpaceDE w:val="0"/>
        <w:autoSpaceDN w:val="0"/>
        <w:adjustRightInd w:val="0"/>
        <w:snapToGrid w:val="0"/>
        <w:spacing w:line="560" w:lineRule="exact"/>
        <w:ind w:left="0" w:firstLine="640" w:firstLineChars="200"/>
        <w:rPr>
          <w:rFonts w:ascii="仿宋_GB2312" w:eastAsia="仿宋_GB2312"/>
          <w:bCs/>
          <w:sz w:val="32"/>
          <w:szCs w:val="32"/>
        </w:rPr>
      </w:pPr>
      <w:r>
        <w:rPr>
          <w:rFonts w:hint="eastAsia" w:ascii="仿宋_GB2312" w:eastAsia="仿宋_GB2312"/>
          <w:bCs/>
          <w:sz w:val="32"/>
          <w:szCs w:val="32"/>
        </w:rPr>
        <w:t>上市公司和相关信息披露义务人拟披露的信息属于商业秘密、商业敏感信息，按照本规则披露或者履行相关义务可能引致不当竞争、损害公司及投资者利益或者误导投资者的，可以按照本所相关规定暂缓或者豁免披露该信息。</w:t>
      </w:r>
    </w:p>
    <w:p>
      <w:pPr>
        <w:tabs>
          <w:tab w:val="left" w:pos="1080"/>
        </w:tabs>
        <w:autoSpaceDE w:val="0"/>
        <w:autoSpaceDN w:val="0"/>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拟披露的信息被依法认定为国家秘密，按本规则披露或者履行相关义务可能导致其违反境内法律法规或危害国家安全的，可以按照本所相关规定豁免披露。</w:t>
      </w:r>
    </w:p>
    <w:p>
      <w:pPr>
        <w:tabs>
          <w:tab w:val="left" w:pos="1080"/>
        </w:tabs>
        <w:autoSpaceDE w:val="0"/>
        <w:autoSpaceDN w:val="0"/>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上市公司和相关信息披露义务人应当审慎确定信息披露暂缓、豁免事项，不得随意扩大暂缓、豁免事项的范围。暂缓披露的信息已经泄露的，应当及时披露。</w:t>
      </w:r>
    </w:p>
    <w:p>
      <w:pPr>
        <w:numPr>
          <w:ilvl w:val="1"/>
          <w:numId w:val="22"/>
        </w:numPr>
        <w:tabs>
          <w:tab w:val="left" w:pos="0"/>
          <w:tab w:val="clear" w:pos="992"/>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和相关信息披露义务人适用本所相关信息披露要求，可能导致其难以反映经营活动的实际情况、难以符合行业监管要求或者公司注册地有关规定的，可以向本所申请调整适用，但是应当说明原因和替代方案，</w:t>
      </w:r>
      <w:r>
        <w:rPr>
          <w:rFonts w:hint="eastAsia" w:ascii="仿宋_GB2312" w:eastAsia="仿宋_GB2312"/>
          <w:sz w:val="32"/>
          <w:szCs w:val="32"/>
        </w:rPr>
        <w:t>并聘请律师事务所出具法律意见。</w:t>
      </w:r>
    </w:p>
    <w:p>
      <w:pPr>
        <w:tabs>
          <w:tab w:val="left" w:pos="0"/>
        </w:tabs>
        <w:autoSpaceDE w:val="0"/>
        <w:autoSpaceDN w:val="0"/>
        <w:adjustRightInd w:val="0"/>
        <w:snapToGrid w:val="0"/>
        <w:spacing w:line="560" w:lineRule="exact"/>
        <w:ind w:firstLine="640" w:firstLineChars="200"/>
        <w:rPr>
          <w:rFonts w:ascii="仿宋_GB2312" w:hAnsi="宋体" w:eastAsia="仿宋_GB2312"/>
          <w:sz w:val="32"/>
          <w:szCs w:val="32"/>
        </w:rPr>
      </w:pPr>
      <w:r>
        <w:rPr>
          <w:rFonts w:hint="eastAsia" w:ascii="仿宋_GB2312" w:eastAsia="仿宋_GB2312"/>
          <w:sz w:val="32"/>
          <w:szCs w:val="32"/>
        </w:rPr>
        <w:t>本所认为不应当调整适用的，上市公司和相关信息披露义务人应当执行本所相关规定</w:t>
      </w:r>
      <w:r>
        <w:rPr>
          <w:rFonts w:hint="eastAsia" w:ascii="仿宋_GB2312" w:hAnsi="宋体" w:eastAsia="仿宋_GB2312"/>
          <w:sz w:val="32"/>
          <w:szCs w:val="32"/>
        </w:rPr>
        <w:t>。</w:t>
      </w:r>
    </w:p>
    <w:p>
      <w:pPr>
        <w:numPr>
          <w:ilvl w:val="1"/>
          <w:numId w:val="22"/>
        </w:numPr>
        <w:tabs>
          <w:tab w:val="left" w:pos="1080"/>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上市公司股票的停牌和复牌，应当遵守本规则及本所相关规定。</w:t>
      </w:r>
      <w:r>
        <w:rPr>
          <w:rFonts w:hint="eastAsia" w:ascii="仿宋_GB2312" w:hAnsi="Arial Unicode MS" w:eastAsia="仿宋_GB2312" w:cs="Arial Unicode MS"/>
          <w:sz w:val="32"/>
          <w:szCs w:val="32"/>
        </w:rPr>
        <w:t>上市公司未按规定申请停牌和复牌的，本所可以决定对公司股票实施停牌和复牌。</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上市公司筹划重大事项或者具有其他本所认为合理的理由，可以按照相关规定申请对其股票停牌与复牌。</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证券市场交易出现极端异常情况的，本所可以根据中国证监会的决定或者市场实际情况，暂停办理上市公司停牌申请，维护市场交易的连续性和流动性，维护投资者正当的交易权利。</w:t>
      </w:r>
    </w:p>
    <w:p>
      <w:pPr>
        <w:numPr>
          <w:ilvl w:val="1"/>
          <w:numId w:val="22"/>
        </w:numPr>
        <w:tabs>
          <w:tab w:val="left" w:pos="1080"/>
        </w:tabs>
        <w:autoSpaceDE w:val="0"/>
        <w:autoSpaceDN w:val="0"/>
        <w:adjustRightInd w:val="0"/>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上市公司出现下列情形的，本所可以视情况决定公司股票的停牌和复牌：</w:t>
      </w:r>
    </w:p>
    <w:p>
      <w:pPr>
        <w:spacing w:line="560" w:lineRule="exact"/>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 xml:space="preserve">    （一）严重违反法律法规、本规则及本所其他规定，且在规定期限内拒不按要求改正；</w:t>
      </w:r>
    </w:p>
    <w:p>
      <w:pPr>
        <w:spacing w:line="560" w:lineRule="exact"/>
        <w:ind w:firstLine="64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（二）定期报告或者临时公告披露存在重大遗漏或者误导性陈述，但拒不按照要求就有关内容进行解释或者补充；</w:t>
      </w:r>
    </w:p>
    <w:p>
      <w:pPr>
        <w:spacing w:line="560" w:lineRule="exact"/>
        <w:ind w:firstLine="64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（三）在公司运作和信息披露方面涉嫌违反法律法规、本规则或者本所其他规定，情节严重而被有关部门调查；</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（四）无法保证与本所的有效联系，或者拒不履行信息披露义务；</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（五）其他本所认为应当停牌或者复牌的情形。</w:t>
      </w:r>
    </w:p>
    <w:p>
      <w:pPr>
        <w:numPr>
          <w:ilvl w:val="1"/>
          <w:numId w:val="22"/>
        </w:numPr>
        <w:tabs>
          <w:tab w:val="left" w:pos="1080"/>
        </w:tabs>
        <w:autoSpaceDE w:val="0"/>
        <w:autoSpaceDN w:val="0"/>
        <w:adjustRightInd w:val="0"/>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上市公司被要约收购的，要约收购期限届满至要约收购结果公告前，公司股票应当停牌。公司股票应当于要约结果公告日复牌。</w:t>
      </w:r>
    </w:p>
    <w:p>
      <w:pPr>
        <w:pStyle w:val="36"/>
        <w:numPr>
          <w:ilvl w:val="1"/>
          <w:numId w:val="1"/>
        </w:numPr>
        <w:ind w:left="0" w:firstLine="643"/>
      </w:pPr>
      <w:bookmarkStart w:id="104" w:name="_Toc29603"/>
      <w:r>
        <w:rPr>
          <w:rFonts w:hint="eastAsia"/>
        </w:rPr>
        <w:t>信息披露监管方式</w:t>
      </w:r>
      <w:bookmarkEnd w:id="104"/>
    </w:p>
    <w:p>
      <w:pPr>
        <w:numPr>
          <w:ilvl w:val="1"/>
          <w:numId w:val="23"/>
        </w:numPr>
        <w:tabs>
          <w:tab w:val="left" w:pos="108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本所通过审阅信息披露文件、提出问询等方式，进行信息披露事中事后监管，督促信息披露义务人履行信息披露义务，督促保荐机构、证券服务机构履行职责。</w:t>
      </w:r>
    </w:p>
    <w:p>
      <w:pPr>
        <w:tabs>
          <w:tab w:val="left" w:pos="1080"/>
        </w:tabs>
        <w:autoSpaceDE w:val="0"/>
        <w:autoSpaceDN w:val="0"/>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eastAsia="仿宋_GB2312"/>
          <w:bCs/>
          <w:sz w:val="32"/>
          <w:szCs w:val="32"/>
        </w:rPr>
        <w:t>信息披露涉及重大复杂、无先例事项的，本所可以实施事前审核。</w:t>
      </w:r>
    </w:p>
    <w:p>
      <w:pPr>
        <w:numPr>
          <w:ilvl w:val="1"/>
          <w:numId w:val="23"/>
        </w:numPr>
        <w:tabs>
          <w:tab w:val="left" w:pos="1080"/>
        </w:tabs>
        <w:autoSpaceDE w:val="0"/>
        <w:autoSpaceDN w:val="0"/>
        <w:adjustRightInd w:val="0"/>
        <w:snapToGrid w:val="0"/>
        <w:spacing w:line="560" w:lineRule="exact"/>
        <w:ind w:left="0" w:firstLine="640" w:firstLineChars="200"/>
        <w:rPr>
          <w:rFonts w:ascii="仿宋_GB2312" w:eastAsia="仿宋_GB2312"/>
          <w:bCs/>
          <w:sz w:val="32"/>
          <w:szCs w:val="32"/>
        </w:rPr>
      </w:pPr>
      <w:r>
        <w:rPr>
          <w:rFonts w:hint="eastAsia" w:ascii="仿宋_GB2312" w:eastAsia="仿宋_GB2312"/>
          <w:bCs/>
          <w:sz w:val="32"/>
          <w:szCs w:val="32"/>
        </w:rPr>
        <w:t>本所对信息披露文件实施形式审核，对其内容的真实性不承担责任。</w:t>
      </w:r>
    </w:p>
    <w:p>
      <w:pPr>
        <w:numPr>
          <w:ilvl w:val="1"/>
          <w:numId w:val="23"/>
        </w:numPr>
        <w:tabs>
          <w:tab w:val="left" w:pos="1080"/>
        </w:tabs>
        <w:autoSpaceDE w:val="0"/>
        <w:autoSpaceDN w:val="0"/>
        <w:adjustRightInd w:val="0"/>
        <w:snapToGrid w:val="0"/>
        <w:spacing w:line="560" w:lineRule="exact"/>
        <w:ind w:left="0" w:firstLine="640" w:firstLineChars="200"/>
        <w:rPr>
          <w:rFonts w:ascii="仿宋_GB2312" w:eastAsia="仿宋_GB2312"/>
          <w:bCs/>
          <w:sz w:val="32"/>
          <w:szCs w:val="32"/>
        </w:rPr>
      </w:pPr>
      <w:r>
        <w:rPr>
          <w:rFonts w:hint="eastAsia" w:ascii="仿宋_GB2312" w:eastAsia="仿宋_GB2312"/>
          <w:bCs/>
          <w:sz w:val="32"/>
          <w:szCs w:val="32"/>
        </w:rPr>
        <w:t>本所经审核认为信息披露文件存在重大问题，可以提出问询。上市公司和相关信息披露义务人应当在规定期限内如实答复，并披露补充或者更正公告。</w:t>
      </w:r>
    </w:p>
    <w:p>
      <w:pPr>
        <w:numPr>
          <w:ilvl w:val="1"/>
          <w:numId w:val="23"/>
        </w:numPr>
        <w:tabs>
          <w:tab w:val="left" w:pos="1080"/>
        </w:tabs>
        <w:autoSpaceDE w:val="0"/>
        <w:autoSpaceDN w:val="0"/>
        <w:adjustRightInd w:val="0"/>
        <w:snapToGrid w:val="0"/>
        <w:spacing w:line="560" w:lineRule="exact"/>
        <w:ind w:left="0" w:firstLine="640" w:firstLineChars="200"/>
        <w:rPr>
          <w:rFonts w:ascii="仿宋_GB2312" w:eastAsia="仿宋_GB2312"/>
          <w:bCs/>
          <w:sz w:val="32"/>
          <w:szCs w:val="32"/>
        </w:rPr>
      </w:pPr>
      <w:r>
        <w:rPr>
          <w:rFonts w:hint="eastAsia" w:ascii="仿宋_GB2312" w:eastAsia="仿宋_GB2312"/>
          <w:bCs/>
          <w:sz w:val="32"/>
          <w:szCs w:val="32"/>
        </w:rPr>
        <w:t>上市公司或者相关信息披露义务人未按照本规则或者本所要求进行公告的，或者本所认为必要的，本所可以以交易所公告形式向市场说明有关情况。</w:t>
      </w:r>
    </w:p>
    <w:p>
      <w:pPr>
        <w:numPr>
          <w:ilvl w:val="1"/>
          <w:numId w:val="23"/>
        </w:numPr>
        <w:tabs>
          <w:tab w:val="left" w:pos="0"/>
          <w:tab w:val="clear" w:pos="992"/>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上市公司应当通过本所上市公司信息披露电子化系统登记公告。相关信息披露义务人应当通过上市公司或者</w:t>
      </w:r>
      <w:r>
        <w:rPr>
          <w:rFonts w:hint="eastAsia" w:ascii="仿宋_GB2312" w:hAnsi="宋体" w:eastAsia="仿宋_GB2312"/>
          <w:sz w:val="32"/>
          <w:szCs w:val="32"/>
          <w:shd w:val="clear" w:color="auto" w:fill="FFFFFF"/>
        </w:rPr>
        <w:t>本所指定的信息披露平台</w:t>
      </w:r>
      <w:r>
        <w:rPr>
          <w:rFonts w:hint="eastAsia" w:ascii="仿宋_GB2312" w:hAnsi="宋体" w:eastAsia="仿宋_GB2312"/>
          <w:sz w:val="32"/>
          <w:szCs w:val="32"/>
        </w:rPr>
        <w:t>办理公告登记。</w:t>
      </w:r>
    </w:p>
    <w:p>
      <w:pPr>
        <w:tabs>
          <w:tab w:val="left" w:pos="1080"/>
        </w:tabs>
        <w:autoSpaceDE w:val="0"/>
        <w:autoSpaceDN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上市公司和相关信息披露义务人应当保证披露的信息与登记的公告内容一致。未能按照登记内容披露的，应当立即向本所报告并及时更正。</w:t>
      </w:r>
    </w:p>
    <w:p>
      <w:pPr>
        <w:tabs>
          <w:tab w:val="left" w:pos="1080"/>
        </w:tabs>
        <w:autoSpaceDE w:val="0"/>
        <w:autoSpaceDN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上市公司和相关信息披露义务人应当在本所网站和中国证监会指定媒体上披露信息披露文件。</w:t>
      </w:r>
    </w:p>
    <w:p>
      <w:pPr>
        <w:numPr>
          <w:ilvl w:val="1"/>
          <w:numId w:val="23"/>
        </w:numPr>
        <w:tabs>
          <w:tab w:val="left" w:pos="1080"/>
        </w:tabs>
        <w:autoSpaceDE w:val="0"/>
        <w:autoSpaceDN w:val="0"/>
        <w:adjustRightInd w:val="0"/>
        <w:snapToGrid w:val="0"/>
        <w:spacing w:line="560" w:lineRule="exact"/>
        <w:ind w:left="0" w:firstLine="640" w:firstLineChars="200"/>
        <w:rPr>
          <w:rFonts w:ascii="仿宋_GB2312" w:eastAsia="仿宋_GB2312"/>
          <w:bCs/>
          <w:sz w:val="32"/>
          <w:szCs w:val="32"/>
        </w:rPr>
      </w:pPr>
      <w:r>
        <w:rPr>
          <w:rFonts w:hint="eastAsia" w:ascii="仿宋_GB2312" w:eastAsia="仿宋_GB2312"/>
          <w:bCs/>
          <w:sz w:val="32"/>
          <w:szCs w:val="32"/>
        </w:rPr>
        <w:t>上市公司或者相关信息披露义务人公告屡次出现虚假记载、误导性陈述或者重大遗漏等情形的，本所可以决定对其</w:t>
      </w:r>
      <w:r>
        <w:rPr>
          <w:rFonts w:hint="eastAsia" w:ascii="仿宋_GB2312" w:hAnsi="Arial Unicode MS" w:eastAsia="仿宋_GB2312" w:cs="Arial Unicode MS"/>
          <w:sz w:val="32"/>
          <w:szCs w:val="32"/>
        </w:rPr>
        <w:t>暂停适用信息披露直通车业务</w:t>
      </w:r>
      <w:r>
        <w:rPr>
          <w:rFonts w:hint="eastAsia" w:ascii="仿宋_GB2312" w:eastAsia="仿宋_GB2312"/>
          <w:bCs/>
          <w:sz w:val="32"/>
          <w:szCs w:val="32"/>
        </w:rPr>
        <w:t>。</w:t>
      </w:r>
    </w:p>
    <w:p>
      <w:pPr>
        <w:pStyle w:val="36"/>
        <w:numPr>
          <w:ilvl w:val="1"/>
          <w:numId w:val="1"/>
        </w:numPr>
        <w:ind w:left="0" w:firstLine="643"/>
      </w:pPr>
      <w:bookmarkStart w:id="105" w:name="_Toc15513"/>
      <w:r>
        <w:rPr>
          <w:rFonts w:hint="eastAsia"/>
        </w:rPr>
        <w:t>信息披露管理制度</w:t>
      </w:r>
      <w:bookmarkEnd w:id="105"/>
    </w:p>
    <w:p>
      <w:pPr>
        <w:numPr>
          <w:ilvl w:val="1"/>
          <w:numId w:val="24"/>
        </w:numPr>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上市公司应当建立信息披露事务管理制度，经董事会审议通过并披露。</w:t>
      </w:r>
    </w:p>
    <w:p>
      <w:pPr>
        <w:tabs>
          <w:tab w:val="left" w:pos="1080"/>
        </w:tabs>
        <w:autoSpaceDE w:val="0"/>
        <w:autoSpaceDN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上市公司应当建立与本所的有效沟通渠道，保证联系畅通。</w:t>
      </w:r>
    </w:p>
    <w:p>
      <w:pPr>
        <w:numPr>
          <w:ilvl w:val="1"/>
          <w:numId w:val="24"/>
        </w:numPr>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上市公司应当制定董事、监事、高级管理人员以及其他相关人员对外发布信息的内部规范制度，明确发布程序、方式和未经董事会许可不得对外发布的情形等事项。</w:t>
      </w:r>
    </w:p>
    <w:p>
      <w:pPr>
        <w:autoSpaceDE w:val="0"/>
        <w:autoSpaceDN w:val="0"/>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 xml:space="preserve">    上市公司控股股东、实际控制人应当比照前款要求，规范与上市公司有关的信息发布行为。</w:t>
      </w:r>
    </w:p>
    <w:p>
      <w:pPr>
        <w:numPr>
          <w:ilvl w:val="1"/>
          <w:numId w:val="24"/>
        </w:numPr>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上市公司和相关信息披露义务人不得以新闻发布或者答记者问等其他形式代替信息披露或泄露未公开重大信息。</w:t>
      </w:r>
    </w:p>
    <w:p>
      <w:pPr>
        <w:tabs>
          <w:tab w:val="left" w:pos="1080"/>
        </w:tabs>
        <w:autoSpaceDE w:val="0"/>
        <w:autoSpaceDN w:val="0"/>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sz w:val="32"/>
          <w:szCs w:val="32"/>
        </w:rPr>
        <w:t>上市公司和相关</w:t>
      </w:r>
      <w:r>
        <w:rPr>
          <w:rFonts w:hint="eastAsia" w:ascii="仿宋_GB2312" w:hAnsi="宋体" w:eastAsia="仿宋_GB2312"/>
          <w:sz w:val="32"/>
          <w:szCs w:val="32"/>
        </w:rPr>
        <w:t>信息披露义务人确有需要的，可以在非交易时段通过新闻发布会、媒体专访、公司网站、网络自媒体等方式对外发布应披露的信息，但公司应当于下一交易时段开始前披露相关公告。</w:t>
      </w:r>
    </w:p>
    <w:p>
      <w:pPr>
        <w:numPr>
          <w:ilvl w:val="1"/>
          <w:numId w:val="24"/>
        </w:numPr>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上市公司应当建立内幕信息管理制度。上市公司及其董事、监事、高级管理人员和其他内幕信息知情人在信息披露前，应当将内幕信息知情人控制在最小范围。</w:t>
      </w:r>
    </w:p>
    <w:p>
      <w:pPr>
        <w:autoSpaceDE w:val="0"/>
        <w:autoSpaceDN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内幕信息知情人在内幕信息公开前，不得买卖公司股票、泄露内幕信息或者建议他人买卖公司股票。</w:t>
      </w:r>
    </w:p>
    <w:p>
      <w:pPr>
        <w:numPr>
          <w:ilvl w:val="1"/>
          <w:numId w:val="24"/>
        </w:numPr>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相关信息披露义务人应当积极配合上市公司做好信息披露工作，及时告知公司已发生或者可能发生的重大事件，严格履行承诺。</w:t>
      </w:r>
    </w:p>
    <w:p>
      <w:pPr>
        <w:autoSpaceDE w:val="0"/>
        <w:autoSpaceDN w:val="0"/>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 xml:space="preserve">    相关信息披露义务人通过上市公司披露信息的，上市公司应当予以协助。</w:t>
      </w:r>
    </w:p>
    <w:p>
      <w:pPr>
        <w:numPr>
          <w:ilvl w:val="1"/>
          <w:numId w:val="24"/>
        </w:numPr>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上市公司应当建立与投资者的有效沟通渠道，保障投资者合法权益。</w:t>
      </w:r>
    </w:p>
    <w:p>
      <w:pPr>
        <w:tabs>
          <w:tab w:val="left" w:pos="1080"/>
        </w:tabs>
        <w:autoSpaceDE w:val="0"/>
        <w:autoSpaceDN w:val="0"/>
        <w:adjustRightInd w:val="0"/>
        <w:snapToGrid w:val="0"/>
        <w:spacing w:line="560" w:lineRule="exact"/>
        <w:ind w:firstLine="640" w:firstLineChars="200"/>
        <w:rPr>
          <w:rFonts w:ascii="仿宋_GB2312" w:eastAsia="仿宋_GB2312"/>
          <w:bCs/>
          <w:sz w:val="32"/>
          <w:szCs w:val="32"/>
        </w:rPr>
      </w:pPr>
      <w:r>
        <w:rPr>
          <w:rFonts w:hint="eastAsia" w:ascii="仿宋_GB2312" w:hAnsi="宋体" w:eastAsia="仿宋_GB2312"/>
          <w:sz w:val="32"/>
          <w:szCs w:val="32"/>
        </w:rPr>
        <w:t>上市公司应当积极召开投资者说明会，向投资者说明公司重大事项，澄清媒体传闻。</w:t>
      </w:r>
    </w:p>
    <w:p>
      <w:pPr>
        <w:tabs>
          <w:tab w:val="left" w:pos="1080"/>
        </w:tabs>
        <w:autoSpaceDE w:val="0"/>
        <w:autoSpaceDN w:val="0"/>
        <w:adjustRightInd w:val="0"/>
        <w:snapToGrid w:val="0"/>
        <w:spacing w:line="560" w:lineRule="exact"/>
        <w:ind w:firstLine="640" w:firstLineChars="200"/>
        <w:rPr>
          <w:rFonts w:ascii="仿宋_GB2312" w:eastAsia="仿宋_GB2312"/>
          <w:bCs/>
          <w:sz w:val="32"/>
          <w:szCs w:val="32"/>
        </w:rPr>
      </w:pPr>
    </w:p>
    <w:p>
      <w:pPr>
        <w:pStyle w:val="81"/>
        <w:rPr>
          <w:b/>
        </w:rPr>
      </w:pPr>
      <w:bookmarkStart w:id="106" w:name="_Toc530162854"/>
      <w:bookmarkEnd w:id="106"/>
      <w:bookmarkStart w:id="107" w:name="_Toc530162324"/>
      <w:bookmarkEnd w:id="107"/>
      <w:bookmarkStart w:id="108" w:name="_Toc530162187"/>
      <w:bookmarkEnd w:id="108"/>
      <w:bookmarkStart w:id="109" w:name="_Toc530162325"/>
      <w:bookmarkEnd w:id="109"/>
      <w:bookmarkStart w:id="110" w:name="_Toc530162861"/>
      <w:bookmarkEnd w:id="110"/>
      <w:bookmarkStart w:id="111" w:name="_Toc530162889"/>
      <w:bookmarkEnd w:id="111"/>
      <w:bookmarkStart w:id="112" w:name="_Toc530161898"/>
      <w:bookmarkEnd w:id="112"/>
      <w:bookmarkStart w:id="113" w:name="_Toc530162903"/>
      <w:bookmarkEnd w:id="113"/>
      <w:bookmarkStart w:id="114" w:name="_Toc530162619"/>
      <w:bookmarkEnd w:id="114"/>
      <w:bookmarkStart w:id="115" w:name="_Toc530162186"/>
      <w:bookmarkEnd w:id="115"/>
      <w:bookmarkStart w:id="116" w:name="_Toc530162616"/>
      <w:bookmarkEnd w:id="116"/>
      <w:bookmarkStart w:id="117" w:name="_Toc530162893"/>
      <w:bookmarkEnd w:id="117"/>
      <w:bookmarkStart w:id="118" w:name="_Toc530162880"/>
      <w:bookmarkEnd w:id="118"/>
      <w:bookmarkStart w:id="119" w:name="_Toc530162478"/>
      <w:bookmarkEnd w:id="119"/>
      <w:bookmarkStart w:id="120" w:name="_Toc530162183"/>
      <w:bookmarkEnd w:id="120"/>
      <w:bookmarkStart w:id="121" w:name="_Toc530162038"/>
      <w:bookmarkEnd w:id="121"/>
      <w:bookmarkStart w:id="122" w:name="_Toc530162884"/>
      <w:bookmarkEnd w:id="122"/>
      <w:bookmarkStart w:id="123" w:name="_Toc530162881"/>
      <w:bookmarkEnd w:id="123"/>
      <w:bookmarkStart w:id="124" w:name="_Toc530162847"/>
      <w:bookmarkEnd w:id="124"/>
      <w:bookmarkStart w:id="125" w:name="_Toc530161905"/>
      <w:bookmarkEnd w:id="125"/>
      <w:bookmarkStart w:id="126" w:name="_Toc530162846"/>
      <w:bookmarkEnd w:id="126"/>
      <w:bookmarkStart w:id="127" w:name="_Toc530162875"/>
      <w:bookmarkEnd w:id="127"/>
      <w:bookmarkStart w:id="128" w:name="_Toc530162873"/>
      <w:bookmarkEnd w:id="128"/>
      <w:bookmarkStart w:id="129" w:name="_Toc530162778"/>
      <w:bookmarkEnd w:id="129"/>
      <w:bookmarkStart w:id="130" w:name="_Toc530162043"/>
      <w:bookmarkEnd w:id="130"/>
      <w:bookmarkStart w:id="131" w:name="_Toc530162344"/>
      <w:bookmarkEnd w:id="131"/>
      <w:bookmarkStart w:id="132" w:name="_Toc530162040"/>
      <w:bookmarkEnd w:id="132"/>
      <w:bookmarkStart w:id="133" w:name="_Toc530162757"/>
      <w:bookmarkEnd w:id="133"/>
      <w:bookmarkStart w:id="134" w:name="_Toc530162876"/>
      <w:bookmarkEnd w:id="134"/>
      <w:bookmarkStart w:id="135" w:name="_Toc530162766"/>
      <w:bookmarkEnd w:id="135"/>
      <w:bookmarkStart w:id="136" w:name="_Toc530162839"/>
      <w:bookmarkEnd w:id="136"/>
      <w:bookmarkStart w:id="137" w:name="_Toc530162845"/>
      <w:bookmarkEnd w:id="137"/>
      <w:bookmarkStart w:id="138" w:name="_Toc530162182"/>
      <w:bookmarkEnd w:id="138"/>
      <w:bookmarkStart w:id="139" w:name="_Toc530162756"/>
      <w:bookmarkEnd w:id="139"/>
      <w:bookmarkStart w:id="140" w:name="_Toc530162849"/>
      <w:bookmarkEnd w:id="140"/>
      <w:bookmarkStart w:id="141" w:name="_Toc530162855"/>
      <w:bookmarkEnd w:id="141"/>
      <w:bookmarkStart w:id="142" w:name="_Toc530162864"/>
      <w:bookmarkEnd w:id="142"/>
      <w:bookmarkStart w:id="143" w:name="_Toc530161900"/>
      <w:bookmarkEnd w:id="143"/>
      <w:bookmarkStart w:id="144" w:name="_Toc530162046"/>
      <w:bookmarkEnd w:id="144"/>
      <w:bookmarkStart w:id="145" w:name="_Toc530162491"/>
      <w:bookmarkEnd w:id="145"/>
      <w:bookmarkStart w:id="146" w:name="_Toc530162326"/>
      <w:bookmarkEnd w:id="146"/>
      <w:bookmarkStart w:id="147" w:name="_Toc530162755"/>
      <w:bookmarkEnd w:id="147"/>
      <w:bookmarkStart w:id="148" w:name="_Toc530162196"/>
      <w:bookmarkEnd w:id="148"/>
      <w:bookmarkStart w:id="149" w:name="_Toc530162635"/>
      <w:bookmarkEnd w:id="149"/>
      <w:bookmarkStart w:id="150" w:name="_Toc530162627"/>
      <w:bookmarkEnd w:id="150"/>
      <w:bookmarkStart w:id="151" w:name="_Toc530162482"/>
      <w:bookmarkEnd w:id="151"/>
      <w:bookmarkStart w:id="152" w:name="_Toc530162048"/>
      <w:bookmarkEnd w:id="152"/>
      <w:bookmarkStart w:id="153" w:name="_Toc530162902"/>
      <w:bookmarkEnd w:id="153"/>
      <w:bookmarkStart w:id="154" w:name="_Toc530162336"/>
      <w:bookmarkEnd w:id="154"/>
      <w:bookmarkStart w:id="155" w:name="_Toc530162890"/>
      <w:bookmarkEnd w:id="155"/>
      <w:bookmarkStart w:id="156" w:name="_Toc530162485"/>
      <w:bookmarkEnd w:id="156"/>
      <w:bookmarkStart w:id="157" w:name="_Toc530161912"/>
      <w:bookmarkEnd w:id="157"/>
      <w:bookmarkStart w:id="158" w:name="_Toc530162044"/>
      <w:bookmarkEnd w:id="158"/>
      <w:bookmarkStart w:id="159" w:name="_Toc530162489"/>
      <w:bookmarkEnd w:id="159"/>
      <w:bookmarkStart w:id="160" w:name="_Toc530162851"/>
      <w:bookmarkEnd w:id="160"/>
      <w:bookmarkStart w:id="161" w:name="_Toc530162050"/>
      <w:bookmarkEnd w:id="161"/>
      <w:bookmarkStart w:id="162" w:name="_Toc530162332"/>
      <w:bookmarkEnd w:id="162"/>
      <w:bookmarkStart w:id="163" w:name="_Toc530162180"/>
      <w:bookmarkEnd w:id="163"/>
      <w:bookmarkStart w:id="164" w:name="_Toc530162879"/>
      <w:bookmarkEnd w:id="164"/>
      <w:bookmarkStart w:id="165" w:name="_Toc530162763"/>
      <w:bookmarkEnd w:id="165"/>
      <w:bookmarkStart w:id="166" w:name="_Toc530162612"/>
      <w:bookmarkEnd w:id="166"/>
      <w:bookmarkStart w:id="167" w:name="_Toc530162622"/>
      <w:bookmarkEnd w:id="167"/>
      <w:bookmarkStart w:id="168" w:name="_Toc530161897"/>
      <w:bookmarkEnd w:id="168"/>
      <w:bookmarkStart w:id="169" w:name="_Toc530161893"/>
      <w:bookmarkEnd w:id="169"/>
      <w:bookmarkStart w:id="170" w:name="_Toc530162335"/>
      <w:bookmarkEnd w:id="170"/>
      <w:bookmarkStart w:id="171" w:name="_Toc530162477"/>
      <w:bookmarkEnd w:id="171"/>
      <w:bookmarkStart w:id="172" w:name="_Toc530034645"/>
      <w:bookmarkEnd w:id="172"/>
      <w:bookmarkStart w:id="173" w:name="_Toc530162198"/>
      <w:bookmarkEnd w:id="173"/>
      <w:bookmarkStart w:id="174" w:name="_Toc530161890"/>
      <w:bookmarkEnd w:id="174"/>
      <w:bookmarkStart w:id="175" w:name="_Toc530162190"/>
      <w:bookmarkEnd w:id="175"/>
      <w:bookmarkStart w:id="176" w:name="_Toc530162772"/>
      <w:bookmarkEnd w:id="176"/>
      <w:bookmarkStart w:id="177" w:name="_Toc530162775"/>
      <w:bookmarkEnd w:id="177"/>
      <w:bookmarkStart w:id="178" w:name="_Toc530161901"/>
      <w:bookmarkEnd w:id="178"/>
      <w:bookmarkStart w:id="179" w:name="_Toc530162630"/>
      <w:bookmarkEnd w:id="179"/>
      <w:bookmarkStart w:id="180" w:name="_Toc530162765"/>
      <w:bookmarkEnd w:id="180"/>
      <w:bookmarkStart w:id="181" w:name="_Toc530162345"/>
      <w:bookmarkEnd w:id="181"/>
      <w:bookmarkStart w:id="182" w:name="_Toc530162493"/>
      <w:bookmarkEnd w:id="182"/>
      <w:bookmarkStart w:id="183" w:name="_Toc530162888"/>
      <w:bookmarkEnd w:id="183"/>
      <w:bookmarkStart w:id="184" w:name="_Toc530162481"/>
      <w:bookmarkEnd w:id="184"/>
      <w:bookmarkStart w:id="185" w:name="_Toc530162856"/>
      <w:bookmarkEnd w:id="185"/>
      <w:bookmarkStart w:id="186" w:name="_Toc530162623"/>
      <w:bookmarkEnd w:id="186"/>
      <w:bookmarkStart w:id="187" w:name="_Toc530161907"/>
      <w:bookmarkEnd w:id="187"/>
      <w:bookmarkStart w:id="188" w:name="_Toc530161899"/>
      <w:bookmarkEnd w:id="188"/>
      <w:bookmarkStart w:id="189" w:name="_Toc530162194"/>
      <w:bookmarkEnd w:id="189"/>
      <w:bookmarkStart w:id="190" w:name="_Toc530162777"/>
      <w:bookmarkEnd w:id="190"/>
      <w:bookmarkStart w:id="191" w:name="_Toc530162328"/>
      <w:bookmarkEnd w:id="191"/>
      <w:bookmarkStart w:id="192" w:name="_Toc530162049"/>
      <w:bookmarkEnd w:id="192"/>
      <w:bookmarkStart w:id="193" w:name="_Toc530162490"/>
      <w:bookmarkEnd w:id="193"/>
      <w:bookmarkStart w:id="194" w:name="_Toc530162628"/>
      <w:bookmarkEnd w:id="194"/>
      <w:bookmarkStart w:id="195" w:name="_Toc530162045"/>
      <w:bookmarkEnd w:id="195"/>
      <w:bookmarkStart w:id="196" w:name="_Toc530162764"/>
      <w:bookmarkEnd w:id="196"/>
      <w:bookmarkStart w:id="197" w:name="_Toc530162866"/>
      <w:bookmarkEnd w:id="197"/>
      <w:bookmarkStart w:id="198" w:name="_Toc530162761"/>
      <w:bookmarkEnd w:id="198"/>
      <w:bookmarkStart w:id="199" w:name="_Toc530162470"/>
      <w:bookmarkEnd w:id="199"/>
      <w:bookmarkStart w:id="200" w:name="_Toc530161902"/>
      <w:bookmarkEnd w:id="200"/>
      <w:bookmarkStart w:id="201" w:name="_Toc530162334"/>
      <w:bookmarkEnd w:id="201"/>
      <w:bookmarkStart w:id="202" w:name="_Toc530162191"/>
      <w:bookmarkEnd w:id="202"/>
      <w:bookmarkStart w:id="203" w:name="_Toc530162486"/>
      <w:bookmarkEnd w:id="203"/>
      <w:bookmarkStart w:id="204" w:name="_Toc530162613"/>
      <w:bookmarkEnd w:id="204"/>
      <w:bookmarkStart w:id="205" w:name="_Toc530162838"/>
      <w:bookmarkEnd w:id="205"/>
      <w:bookmarkStart w:id="206" w:name="_Toc530161896"/>
      <w:bookmarkEnd w:id="206"/>
      <w:bookmarkStart w:id="207" w:name="_Toc530162479"/>
      <w:bookmarkEnd w:id="207"/>
      <w:bookmarkStart w:id="208" w:name="_Toc530162898"/>
      <w:bookmarkEnd w:id="208"/>
      <w:bookmarkStart w:id="209" w:name="_Toc530162480"/>
      <w:bookmarkEnd w:id="209"/>
      <w:bookmarkStart w:id="210" w:name="_Toc530056397"/>
      <w:bookmarkEnd w:id="210"/>
      <w:bookmarkStart w:id="211" w:name="_Toc530162625"/>
      <w:bookmarkEnd w:id="211"/>
      <w:bookmarkStart w:id="212" w:name="_Toc530162618"/>
      <w:bookmarkEnd w:id="212"/>
      <w:bookmarkStart w:id="213" w:name="_Toc530162907"/>
      <w:bookmarkEnd w:id="213"/>
      <w:bookmarkStart w:id="214" w:name="_Toc530161904"/>
      <w:bookmarkEnd w:id="214"/>
      <w:bookmarkStart w:id="215" w:name="_Toc530162883"/>
      <w:bookmarkEnd w:id="215"/>
      <w:bookmarkStart w:id="216" w:name="_Toc530162329"/>
      <w:bookmarkEnd w:id="216"/>
      <w:bookmarkStart w:id="217" w:name="_Toc530162492"/>
      <w:bookmarkEnd w:id="217"/>
      <w:bookmarkStart w:id="218" w:name="_Toc530162858"/>
      <w:bookmarkEnd w:id="218"/>
      <w:bookmarkStart w:id="219" w:name="_Toc530162047"/>
      <w:bookmarkEnd w:id="219"/>
      <w:bookmarkStart w:id="220" w:name="_Toc530162774"/>
      <w:bookmarkEnd w:id="220"/>
      <w:bookmarkStart w:id="221" w:name="_Toc530162776"/>
      <w:bookmarkEnd w:id="221"/>
      <w:bookmarkStart w:id="222" w:name="_Toc530162474"/>
      <w:bookmarkEnd w:id="222"/>
      <w:bookmarkStart w:id="223" w:name="_Toc530162901"/>
      <w:bookmarkEnd w:id="223"/>
      <w:bookmarkStart w:id="224" w:name="_Toc530162188"/>
      <w:bookmarkEnd w:id="224"/>
      <w:bookmarkStart w:id="225" w:name="_Toc530162346"/>
      <w:bookmarkEnd w:id="225"/>
      <w:bookmarkStart w:id="226" w:name="_Toc530162629"/>
      <w:bookmarkEnd w:id="226"/>
      <w:bookmarkStart w:id="227" w:name="_Toc530162034"/>
      <w:bookmarkEnd w:id="227"/>
      <w:bookmarkStart w:id="228" w:name="_Toc530162863"/>
      <w:bookmarkEnd w:id="228"/>
      <w:bookmarkStart w:id="229" w:name="_Toc530162844"/>
      <w:bookmarkEnd w:id="229"/>
      <w:bookmarkStart w:id="230" w:name="_Toc530162185"/>
      <w:bookmarkEnd w:id="230"/>
      <w:bookmarkStart w:id="231" w:name="_Toc530162037"/>
      <w:bookmarkEnd w:id="231"/>
      <w:bookmarkStart w:id="232" w:name="_Toc530162614"/>
      <w:bookmarkEnd w:id="232"/>
      <w:bookmarkStart w:id="233" w:name="_Toc530162869"/>
      <w:bookmarkEnd w:id="233"/>
      <w:bookmarkStart w:id="234" w:name="_Toc530162340"/>
      <w:bookmarkEnd w:id="234"/>
      <w:bookmarkStart w:id="235" w:name="_Toc530162195"/>
      <w:bookmarkEnd w:id="235"/>
      <w:bookmarkStart w:id="236" w:name="_Toc530162878"/>
      <w:bookmarkEnd w:id="236"/>
      <w:bookmarkStart w:id="237" w:name="_Toc530162343"/>
      <w:bookmarkEnd w:id="237"/>
      <w:bookmarkStart w:id="238" w:name="_Toc530162843"/>
      <w:bookmarkEnd w:id="238"/>
      <w:bookmarkStart w:id="239" w:name="_Toc530162877"/>
      <w:bookmarkEnd w:id="239"/>
      <w:bookmarkStart w:id="240" w:name="_Toc530162341"/>
      <w:bookmarkEnd w:id="240"/>
      <w:bookmarkStart w:id="241" w:name="_Toc530162827"/>
      <w:bookmarkEnd w:id="241"/>
      <w:bookmarkStart w:id="242" w:name="_Toc530162054"/>
      <w:bookmarkEnd w:id="242"/>
      <w:bookmarkStart w:id="243" w:name="_Toc530162886"/>
      <w:bookmarkEnd w:id="243"/>
      <w:bookmarkStart w:id="244" w:name="_Toc530162850"/>
      <w:bookmarkEnd w:id="244"/>
      <w:bookmarkStart w:id="245" w:name="_Toc530162892"/>
      <w:bookmarkEnd w:id="245"/>
      <w:bookmarkStart w:id="246" w:name="_Toc530162039"/>
      <w:bookmarkEnd w:id="246"/>
      <w:bookmarkStart w:id="247" w:name="_Toc530056399"/>
      <w:bookmarkEnd w:id="247"/>
      <w:bookmarkStart w:id="248" w:name="_Toc530162874"/>
      <w:bookmarkEnd w:id="248"/>
      <w:bookmarkStart w:id="249" w:name="_Toc530162051"/>
      <w:bookmarkEnd w:id="249"/>
      <w:bookmarkStart w:id="250" w:name="_Toc530162488"/>
      <w:bookmarkEnd w:id="250"/>
      <w:bookmarkStart w:id="251" w:name="_Toc530162837"/>
      <w:bookmarkEnd w:id="251"/>
      <w:bookmarkStart w:id="252" w:name="_Toc530162831"/>
      <w:bookmarkEnd w:id="252"/>
      <w:bookmarkStart w:id="253" w:name="_Toc530162885"/>
      <w:bookmarkEnd w:id="253"/>
      <w:bookmarkStart w:id="254" w:name="_Toc530162905"/>
      <w:bookmarkEnd w:id="254"/>
      <w:bookmarkStart w:id="255" w:name="_Toc530162041"/>
      <w:bookmarkEnd w:id="255"/>
      <w:bookmarkStart w:id="256" w:name="_Toc530162333"/>
      <w:bookmarkEnd w:id="256"/>
      <w:bookmarkStart w:id="257" w:name="_Toc530162767"/>
      <w:bookmarkEnd w:id="257"/>
      <w:bookmarkStart w:id="258" w:name="_Toc530162053"/>
      <w:bookmarkEnd w:id="258"/>
      <w:bookmarkStart w:id="259" w:name="_Toc530162828"/>
      <w:bookmarkEnd w:id="259"/>
      <w:bookmarkStart w:id="260" w:name="_Toc530162871"/>
      <w:bookmarkEnd w:id="260"/>
      <w:bookmarkStart w:id="261" w:name="_Toc530161903"/>
      <w:bookmarkEnd w:id="261"/>
      <w:bookmarkStart w:id="262" w:name="_Toc530162887"/>
      <w:bookmarkEnd w:id="262"/>
      <w:bookmarkStart w:id="263" w:name="_Toc530162906"/>
      <w:bookmarkEnd w:id="263"/>
      <w:bookmarkStart w:id="264" w:name="_Toc530162181"/>
      <w:bookmarkEnd w:id="264"/>
      <w:bookmarkStart w:id="265" w:name="_Toc530162189"/>
      <w:bookmarkEnd w:id="265"/>
      <w:bookmarkStart w:id="266" w:name="_Toc530162624"/>
      <w:bookmarkEnd w:id="266"/>
      <w:bookmarkStart w:id="267" w:name="_Toc530162035"/>
      <w:bookmarkEnd w:id="267"/>
      <w:bookmarkStart w:id="268" w:name="_Toc530162759"/>
      <w:bookmarkEnd w:id="268"/>
      <w:bookmarkStart w:id="269" w:name="_Toc530162836"/>
      <w:bookmarkEnd w:id="269"/>
      <w:bookmarkStart w:id="270" w:name="_Toc530162337"/>
      <w:bookmarkEnd w:id="270"/>
      <w:bookmarkStart w:id="271" w:name="_Toc530162865"/>
      <w:bookmarkEnd w:id="271"/>
      <w:bookmarkStart w:id="272" w:name="_Toc530162862"/>
      <w:bookmarkEnd w:id="272"/>
      <w:bookmarkStart w:id="273" w:name="_Toc530162900"/>
      <w:bookmarkEnd w:id="273"/>
      <w:bookmarkStart w:id="274" w:name="_Toc530162042"/>
      <w:bookmarkEnd w:id="274"/>
      <w:bookmarkStart w:id="275" w:name="_Toc530162192"/>
      <w:bookmarkEnd w:id="275"/>
      <w:bookmarkStart w:id="276" w:name="_Toc530162760"/>
      <w:bookmarkEnd w:id="276"/>
      <w:bookmarkStart w:id="277" w:name="_Toc530052383"/>
      <w:bookmarkEnd w:id="277"/>
      <w:bookmarkStart w:id="278" w:name="_Toc530162199"/>
      <w:bookmarkEnd w:id="278"/>
      <w:bookmarkStart w:id="279" w:name="_Toc530162896"/>
      <w:bookmarkEnd w:id="279"/>
      <w:bookmarkStart w:id="280" w:name="_Toc530162773"/>
      <w:bookmarkEnd w:id="280"/>
      <w:bookmarkStart w:id="281" w:name="_Toc530161906"/>
      <w:bookmarkEnd w:id="281"/>
      <w:bookmarkStart w:id="282" w:name="_Toc530162859"/>
      <w:bookmarkEnd w:id="282"/>
      <w:bookmarkStart w:id="283" w:name="_Toc530162897"/>
      <w:bookmarkEnd w:id="283"/>
      <w:bookmarkStart w:id="284" w:name="_Toc530162758"/>
      <w:bookmarkEnd w:id="284"/>
      <w:bookmarkStart w:id="285" w:name="_Toc530162634"/>
      <w:bookmarkEnd w:id="285"/>
      <w:bookmarkStart w:id="286" w:name="_Toc530162202"/>
      <w:bookmarkEnd w:id="286"/>
      <w:bookmarkStart w:id="287" w:name="_Toc530162882"/>
      <w:bookmarkEnd w:id="287"/>
      <w:bookmarkStart w:id="288" w:name="_Toc530162621"/>
      <w:bookmarkEnd w:id="288"/>
      <w:bookmarkStart w:id="289" w:name="_Toc530162471"/>
      <w:bookmarkEnd w:id="289"/>
      <w:bookmarkStart w:id="290" w:name="_Toc530162829"/>
      <w:bookmarkEnd w:id="290"/>
      <w:bookmarkStart w:id="291" w:name="_Toc530162768"/>
      <w:bookmarkEnd w:id="291"/>
      <w:bookmarkStart w:id="292" w:name="_Toc530162894"/>
      <w:bookmarkEnd w:id="292"/>
      <w:bookmarkStart w:id="293" w:name="_Toc530162484"/>
      <w:bookmarkEnd w:id="293"/>
      <w:bookmarkStart w:id="294" w:name="_Toc530034646"/>
      <w:bookmarkEnd w:id="294"/>
      <w:bookmarkStart w:id="295" w:name="_Toc530162487"/>
      <w:bookmarkEnd w:id="295"/>
      <w:bookmarkStart w:id="296" w:name="_Toc530162483"/>
      <w:bookmarkEnd w:id="296"/>
      <w:bookmarkStart w:id="297" w:name="_Toc530162475"/>
      <w:bookmarkEnd w:id="297"/>
      <w:bookmarkStart w:id="298" w:name="_Toc530162868"/>
      <w:bookmarkEnd w:id="298"/>
      <w:bookmarkStart w:id="299" w:name="_Toc530162770"/>
      <w:bookmarkEnd w:id="299"/>
      <w:bookmarkStart w:id="300" w:name="_Toc530162867"/>
      <w:bookmarkEnd w:id="300"/>
      <w:bookmarkStart w:id="301" w:name="_Toc530161908"/>
      <w:bookmarkEnd w:id="301"/>
      <w:bookmarkStart w:id="302" w:name="_Toc530162841"/>
      <w:bookmarkEnd w:id="302"/>
      <w:bookmarkStart w:id="303" w:name="_Toc530162870"/>
      <w:bookmarkEnd w:id="303"/>
      <w:bookmarkStart w:id="304" w:name="_Toc530162830"/>
      <w:bookmarkEnd w:id="304"/>
      <w:bookmarkStart w:id="305" w:name="_Toc530162832"/>
      <w:bookmarkEnd w:id="305"/>
      <w:bookmarkStart w:id="306" w:name="_Toc530052382"/>
      <w:bookmarkEnd w:id="306"/>
      <w:bookmarkStart w:id="307" w:name="_Toc530052384"/>
      <w:bookmarkEnd w:id="307"/>
      <w:bookmarkStart w:id="308" w:name="_Toc530162057"/>
      <w:bookmarkEnd w:id="308"/>
      <w:bookmarkStart w:id="309" w:name="_Toc530162899"/>
      <w:bookmarkEnd w:id="309"/>
      <w:bookmarkStart w:id="310" w:name="_Toc530162771"/>
      <w:bookmarkEnd w:id="310"/>
      <w:bookmarkStart w:id="311" w:name="_Toc530162891"/>
      <w:bookmarkEnd w:id="311"/>
      <w:bookmarkStart w:id="312" w:name="_Toc530162842"/>
      <w:bookmarkEnd w:id="312"/>
      <w:bookmarkStart w:id="313" w:name="_Toc530161911"/>
      <w:bookmarkEnd w:id="313"/>
      <w:bookmarkStart w:id="314" w:name="_Toc530162852"/>
      <w:bookmarkEnd w:id="314"/>
      <w:bookmarkStart w:id="315" w:name="_Toc530161894"/>
      <w:bookmarkEnd w:id="315"/>
      <w:bookmarkStart w:id="316" w:name="_Toc530162056"/>
      <w:bookmarkEnd w:id="316"/>
      <w:bookmarkStart w:id="317" w:name="_Toc530161910"/>
      <w:bookmarkEnd w:id="317"/>
      <w:bookmarkStart w:id="318" w:name="_Toc530162055"/>
      <w:bookmarkEnd w:id="318"/>
      <w:bookmarkStart w:id="319" w:name="_Toc530034647"/>
      <w:bookmarkEnd w:id="319"/>
      <w:bookmarkStart w:id="320" w:name="_Toc530162626"/>
      <w:bookmarkEnd w:id="320"/>
      <w:bookmarkStart w:id="321" w:name="_Toc530162331"/>
      <w:bookmarkEnd w:id="321"/>
      <w:bookmarkStart w:id="322" w:name="_Toc530162909"/>
      <w:bookmarkEnd w:id="322"/>
      <w:bookmarkStart w:id="323" w:name="_Toc530162339"/>
      <w:bookmarkEnd w:id="323"/>
      <w:bookmarkStart w:id="324" w:name="_Toc530161891"/>
      <w:bookmarkEnd w:id="324"/>
      <w:bookmarkStart w:id="325" w:name="_Toc530162908"/>
      <w:bookmarkEnd w:id="325"/>
      <w:bookmarkStart w:id="326" w:name="_Toc530162762"/>
      <w:bookmarkEnd w:id="326"/>
      <w:bookmarkStart w:id="327" w:name="_Toc530162473"/>
      <w:bookmarkEnd w:id="327"/>
      <w:bookmarkStart w:id="328" w:name="_Toc530162184"/>
      <w:bookmarkEnd w:id="328"/>
      <w:bookmarkStart w:id="329" w:name="_Toc530162615"/>
      <w:bookmarkEnd w:id="329"/>
      <w:bookmarkStart w:id="330" w:name="_Toc530162476"/>
      <w:bookmarkEnd w:id="330"/>
      <w:bookmarkStart w:id="331" w:name="_Toc530162633"/>
      <w:bookmarkEnd w:id="331"/>
      <w:bookmarkStart w:id="332" w:name="_Toc530161892"/>
      <w:bookmarkEnd w:id="332"/>
      <w:bookmarkStart w:id="333" w:name="_Toc530162338"/>
      <w:bookmarkEnd w:id="333"/>
      <w:bookmarkStart w:id="334" w:name="_Toc530162342"/>
      <w:bookmarkEnd w:id="334"/>
      <w:bookmarkStart w:id="335" w:name="_Toc530162347"/>
      <w:bookmarkEnd w:id="335"/>
      <w:bookmarkStart w:id="336" w:name="_Toc530162848"/>
      <w:bookmarkEnd w:id="336"/>
      <w:bookmarkStart w:id="337" w:name="_Toc530161909"/>
      <w:bookmarkEnd w:id="337"/>
      <w:bookmarkStart w:id="338" w:name="_Toc530162895"/>
      <w:bookmarkEnd w:id="338"/>
      <w:bookmarkStart w:id="339" w:name="_Toc530162200"/>
      <w:bookmarkEnd w:id="339"/>
      <w:bookmarkStart w:id="340" w:name="_Toc530162833"/>
      <w:bookmarkEnd w:id="340"/>
      <w:bookmarkStart w:id="341" w:name="_Toc530162036"/>
      <w:bookmarkEnd w:id="341"/>
      <w:bookmarkStart w:id="342" w:name="_Toc530162052"/>
      <w:bookmarkEnd w:id="342"/>
      <w:bookmarkStart w:id="343" w:name="_Toc530162857"/>
      <w:bookmarkEnd w:id="343"/>
      <w:bookmarkStart w:id="344" w:name="_Toc530162853"/>
      <w:bookmarkEnd w:id="344"/>
      <w:bookmarkStart w:id="345" w:name="_Toc530162860"/>
      <w:bookmarkEnd w:id="345"/>
      <w:bookmarkStart w:id="346" w:name="_Toc530162840"/>
      <w:bookmarkEnd w:id="346"/>
      <w:bookmarkStart w:id="347" w:name="_Toc530162193"/>
      <w:bookmarkEnd w:id="347"/>
      <w:bookmarkStart w:id="348" w:name="_Toc530162472"/>
      <w:bookmarkEnd w:id="348"/>
      <w:bookmarkStart w:id="349" w:name="_Toc530162904"/>
      <w:bookmarkEnd w:id="349"/>
      <w:bookmarkStart w:id="350" w:name="_Toc530162617"/>
      <w:bookmarkEnd w:id="350"/>
      <w:bookmarkStart w:id="351" w:name="_Toc530162632"/>
      <w:bookmarkEnd w:id="351"/>
      <w:bookmarkStart w:id="352" w:name="_Toc530162327"/>
      <w:bookmarkEnd w:id="352"/>
      <w:bookmarkStart w:id="353" w:name="_Toc530162620"/>
      <w:bookmarkEnd w:id="353"/>
      <w:bookmarkStart w:id="354" w:name="_Toc530162769"/>
      <w:bookmarkEnd w:id="354"/>
      <w:bookmarkStart w:id="355" w:name="_Toc530162179"/>
      <w:bookmarkEnd w:id="355"/>
      <w:bookmarkStart w:id="356" w:name="_Toc530162872"/>
      <w:bookmarkEnd w:id="356"/>
      <w:bookmarkStart w:id="357" w:name="_Toc530162834"/>
      <w:bookmarkEnd w:id="357"/>
      <w:bookmarkStart w:id="358" w:name="_Toc530162197"/>
      <w:bookmarkEnd w:id="358"/>
      <w:bookmarkStart w:id="359" w:name="_Toc530161895"/>
      <w:bookmarkEnd w:id="359"/>
      <w:bookmarkStart w:id="360" w:name="_Toc530161913"/>
      <w:bookmarkEnd w:id="360"/>
      <w:bookmarkStart w:id="361" w:name="_Toc530162631"/>
      <w:bookmarkEnd w:id="361"/>
      <w:bookmarkStart w:id="362" w:name="_Toc530162201"/>
      <w:bookmarkEnd w:id="362"/>
      <w:bookmarkStart w:id="363" w:name="_Toc530162330"/>
      <w:bookmarkEnd w:id="363"/>
      <w:bookmarkStart w:id="364" w:name="_Toc530162835"/>
      <w:bookmarkEnd w:id="364"/>
      <w:bookmarkStart w:id="365" w:name="_Toc530056398"/>
      <w:bookmarkEnd w:id="365"/>
      <w:bookmarkStart w:id="366" w:name="_Toc8838"/>
      <w:r>
        <w:rPr>
          <w:rFonts w:hint="eastAsia"/>
        </w:rPr>
        <w:t>定期报告</w:t>
      </w:r>
      <w:bookmarkEnd w:id="366"/>
    </w:p>
    <w:p>
      <w:pPr>
        <w:pStyle w:val="36"/>
        <w:numPr>
          <w:ilvl w:val="1"/>
          <w:numId w:val="1"/>
        </w:numPr>
        <w:ind w:left="0" w:firstLine="643"/>
      </w:pPr>
      <w:bookmarkStart w:id="367" w:name="_Toc22852"/>
      <w:r>
        <w:rPr>
          <w:rFonts w:hint="eastAsia"/>
        </w:rPr>
        <w:t>定期报告编制和披露要求</w:t>
      </w:r>
      <w:bookmarkEnd w:id="367"/>
    </w:p>
    <w:p>
      <w:pPr>
        <w:pStyle w:val="34"/>
        <w:numPr>
          <w:ilvl w:val="0"/>
          <w:numId w:val="25"/>
        </w:numPr>
        <w:tabs>
          <w:tab w:val="left" w:pos="1276"/>
          <w:tab w:val="left" w:pos="1418"/>
        </w:tabs>
        <w:spacing w:line="560" w:lineRule="exact"/>
        <w:ind w:left="0" w:firstLine="640"/>
        <w:rPr>
          <w:rFonts w:ascii="仿宋_GB2312"/>
          <w:sz w:val="32"/>
          <w:szCs w:val="32"/>
        </w:rPr>
      </w:pPr>
      <w:r>
        <w:rPr>
          <w:rFonts w:hint="eastAsia" w:ascii="仿宋_GB2312" w:hAnsi="宋体"/>
          <w:sz w:val="32"/>
          <w:szCs w:val="32"/>
        </w:rPr>
        <w:t>上市公司应当在规定的期间内</w:t>
      </w:r>
      <w:r>
        <w:rPr>
          <w:rFonts w:hint="eastAsia" w:ascii="仿宋_GB2312"/>
          <w:sz w:val="32"/>
          <w:szCs w:val="32"/>
        </w:rPr>
        <w:t>，依照中国证监会和本所的要求编制并披露定期报告。</w:t>
      </w:r>
    </w:p>
    <w:p>
      <w:pPr>
        <w:tabs>
          <w:tab w:val="left" w:pos="1276"/>
          <w:tab w:val="left" w:pos="1418"/>
        </w:tabs>
        <w:spacing w:line="560" w:lineRule="exact"/>
        <w:ind w:firstLine="640" w:firstLineChars="200"/>
        <w:rPr>
          <w:rFonts w:ascii="仿宋_GB2312" w:eastAsia="仿宋_GB2312"/>
          <w:sz w:val="32"/>
          <w:szCs w:val="32"/>
        </w:rPr>
      </w:pPr>
      <w:r>
        <w:rPr>
          <w:rFonts w:hint="eastAsia" w:ascii="仿宋_GB2312" w:eastAsia="仿宋_GB2312"/>
          <w:sz w:val="32"/>
          <w:szCs w:val="32"/>
        </w:rPr>
        <w:t>定期报告包括年度报告、半年度报告和季度报告。</w:t>
      </w:r>
    </w:p>
    <w:p>
      <w:pPr>
        <w:pStyle w:val="34"/>
        <w:numPr>
          <w:ilvl w:val="0"/>
          <w:numId w:val="25"/>
        </w:numPr>
        <w:tabs>
          <w:tab w:val="left" w:pos="1276"/>
          <w:tab w:val="left" w:pos="1418"/>
        </w:tabs>
        <w:spacing w:line="560" w:lineRule="exact"/>
        <w:ind w:left="0" w:firstLine="640"/>
        <w:rPr>
          <w:rFonts w:ascii="仿宋_GB2312" w:hAnsi="宋体"/>
          <w:sz w:val="32"/>
          <w:szCs w:val="32"/>
        </w:rPr>
      </w:pPr>
      <w:r>
        <w:rPr>
          <w:rFonts w:hint="eastAsia" w:ascii="仿宋_GB2312" w:hAnsi="宋体"/>
          <w:sz w:val="32"/>
          <w:szCs w:val="32"/>
        </w:rPr>
        <w:t>上市公司应当在每个会计年度结束之日起4个月内披露年度报告，在每个会计年度的上半年结束之日起2个月内披露半年度报告，在每个会计年度前3个月、9个月结束之日起1个月内披露季度报告。第一季度季度报告的披露时间不得早于上一年度年度报告的披露时间。</w:t>
      </w:r>
    </w:p>
    <w:p>
      <w:pPr>
        <w:tabs>
          <w:tab w:val="left" w:pos="1276"/>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上市公司预计不能在规定期限内披露定期报告的，应当及时公告不能按期披露的原因、解决方案以及预计披露的时间。</w:t>
      </w:r>
    </w:p>
    <w:p>
      <w:pPr>
        <w:pStyle w:val="34"/>
        <w:numPr>
          <w:ilvl w:val="0"/>
          <w:numId w:val="25"/>
        </w:numPr>
        <w:tabs>
          <w:tab w:val="left" w:pos="1276"/>
          <w:tab w:val="left" w:pos="1418"/>
        </w:tabs>
        <w:spacing w:line="560" w:lineRule="exact"/>
        <w:ind w:left="0" w:firstLine="640"/>
        <w:rPr>
          <w:rFonts w:ascii="仿宋_GB2312" w:hAnsi="宋体"/>
          <w:sz w:val="32"/>
          <w:szCs w:val="32"/>
        </w:rPr>
      </w:pPr>
      <w:r>
        <w:rPr>
          <w:rFonts w:hint="eastAsia" w:ascii="仿宋_GB2312" w:hAnsi="宋体"/>
          <w:sz w:val="32"/>
          <w:szCs w:val="32"/>
        </w:rPr>
        <w:t>上市公司应当向本所预约定期报告的披露时间。</w:t>
      </w:r>
    </w:p>
    <w:p>
      <w:pPr>
        <w:tabs>
          <w:tab w:val="left" w:pos="1276"/>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因故需要变更披露时间的，应当提前5个交易日向本所申请变更，本所视情况决定是否予以调整。</w:t>
      </w:r>
    </w:p>
    <w:p>
      <w:pPr>
        <w:pStyle w:val="34"/>
        <w:numPr>
          <w:ilvl w:val="0"/>
          <w:numId w:val="25"/>
        </w:numPr>
        <w:tabs>
          <w:tab w:val="left" w:pos="1276"/>
          <w:tab w:val="left" w:pos="1418"/>
        </w:tabs>
        <w:spacing w:line="560" w:lineRule="exact"/>
        <w:ind w:left="0" w:firstLine="640"/>
        <w:rPr>
          <w:rFonts w:ascii="仿宋_GB2312"/>
          <w:sz w:val="32"/>
          <w:szCs w:val="32"/>
        </w:rPr>
      </w:pPr>
      <w:r>
        <w:rPr>
          <w:rFonts w:hint="eastAsia" w:ascii="仿宋_GB2312"/>
          <w:sz w:val="32"/>
          <w:szCs w:val="32"/>
        </w:rPr>
        <w:t>上市公司董事会应当确保公司定期报告按时披露。定期报告未经董事会审议、董事会审议未通过或者因故无法形成有关董事会决议的，公司应当披露具体原因和存在的风险、董事会的专项说明。</w:t>
      </w:r>
    </w:p>
    <w:p>
      <w:pPr>
        <w:pStyle w:val="34"/>
        <w:tabs>
          <w:tab w:val="left" w:pos="1276"/>
          <w:tab w:val="left" w:pos="1418"/>
        </w:tabs>
        <w:spacing w:line="560" w:lineRule="exact"/>
        <w:ind w:left="640" w:firstLine="0" w:firstLineChars="0"/>
        <w:rPr>
          <w:rFonts w:ascii="仿宋_GB2312"/>
          <w:sz w:val="32"/>
          <w:szCs w:val="32"/>
        </w:rPr>
      </w:pPr>
      <w:r>
        <w:rPr>
          <w:rFonts w:hint="eastAsia" w:ascii="仿宋_GB2312"/>
          <w:sz w:val="32"/>
          <w:szCs w:val="32"/>
        </w:rPr>
        <w:t>公司不得披露未经董事会审议通过的定期报告。</w:t>
      </w:r>
    </w:p>
    <w:p>
      <w:pPr>
        <w:pStyle w:val="34"/>
        <w:numPr>
          <w:ilvl w:val="0"/>
          <w:numId w:val="25"/>
        </w:numPr>
        <w:tabs>
          <w:tab w:val="left" w:pos="1276"/>
          <w:tab w:val="left" w:pos="1418"/>
        </w:tabs>
        <w:spacing w:line="560" w:lineRule="exact"/>
        <w:ind w:left="0" w:firstLine="640"/>
        <w:rPr>
          <w:rFonts w:ascii="仿宋_GB2312"/>
          <w:sz w:val="32"/>
          <w:szCs w:val="32"/>
        </w:rPr>
      </w:pPr>
      <w:r>
        <w:rPr>
          <w:rFonts w:hint="eastAsia" w:ascii="仿宋_GB2312" w:hAnsi="黑体"/>
          <w:sz w:val="32"/>
          <w:szCs w:val="32"/>
        </w:rPr>
        <w:t>上市公司</w:t>
      </w:r>
      <w:r>
        <w:rPr>
          <w:rFonts w:hint="eastAsia" w:ascii="仿宋_GB2312"/>
          <w:sz w:val="32"/>
          <w:szCs w:val="32"/>
        </w:rPr>
        <w:t>监事会应当审核定期报告，并以监事会决议的形式说明定期报告编制和审核程序是否符合相关规定，内容是否真实、准确、完整。</w:t>
      </w:r>
    </w:p>
    <w:p>
      <w:pPr>
        <w:pStyle w:val="34"/>
        <w:numPr>
          <w:ilvl w:val="0"/>
          <w:numId w:val="25"/>
        </w:numPr>
        <w:tabs>
          <w:tab w:val="left" w:pos="1276"/>
          <w:tab w:val="left" w:pos="1418"/>
        </w:tabs>
        <w:spacing w:line="560" w:lineRule="exact"/>
        <w:ind w:left="0" w:firstLine="640"/>
        <w:rPr>
          <w:rFonts w:ascii="仿宋_GB2312"/>
          <w:sz w:val="32"/>
          <w:szCs w:val="32"/>
        </w:rPr>
      </w:pPr>
      <w:r>
        <w:rPr>
          <w:rFonts w:hint="eastAsia" w:ascii="仿宋_GB2312"/>
          <w:sz w:val="32"/>
          <w:szCs w:val="32"/>
        </w:rPr>
        <w:t>上市公司董事、高级管理人员应当对定期报告签署书面意见，保证定期报告真实、准确、完整；对定期报告内容存在异议的，应当说明原因并披露。</w:t>
      </w:r>
    </w:p>
    <w:p>
      <w:pPr>
        <w:autoSpaceDE w:val="0"/>
        <w:autoSpaceDN w:val="0"/>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董事、高级管理人员不得以任何理由拒绝对定期报告签署书面意见。</w:t>
      </w:r>
    </w:p>
    <w:p>
      <w:pPr>
        <w:pStyle w:val="34"/>
        <w:numPr>
          <w:ilvl w:val="0"/>
          <w:numId w:val="25"/>
        </w:numPr>
        <w:tabs>
          <w:tab w:val="left" w:pos="1276"/>
          <w:tab w:val="left" w:pos="1418"/>
        </w:tabs>
        <w:spacing w:line="560" w:lineRule="exact"/>
        <w:ind w:left="0" w:firstLine="640"/>
        <w:rPr>
          <w:rFonts w:ascii="仿宋_GB2312" w:hAnsi="宋体"/>
          <w:sz w:val="32"/>
          <w:szCs w:val="32"/>
        </w:rPr>
      </w:pPr>
      <w:r>
        <w:rPr>
          <w:rFonts w:hint="eastAsia" w:ascii="仿宋_GB2312" w:hAnsi="宋体"/>
          <w:sz w:val="32"/>
          <w:szCs w:val="32"/>
        </w:rPr>
        <w:t>为上市公司定期报告出具审计意见的会计师事务所，应当严格按照注册会计师执业准则以及相关规定发表审计意见，不得无故拖延，影响定期报告按时披露。</w:t>
      </w:r>
    </w:p>
    <w:p>
      <w:pPr>
        <w:pStyle w:val="34"/>
        <w:numPr>
          <w:ilvl w:val="0"/>
          <w:numId w:val="25"/>
        </w:numPr>
        <w:tabs>
          <w:tab w:val="left" w:pos="1276"/>
          <w:tab w:val="left" w:pos="1418"/>
        </w:tabs>
        <w:spacing w:line="560" w:lineRule="exact"/>
        <w:ind w:left="0" w:firstLine="640"/>
        <w:rPr>
          <w:rFonts w:ascii="仿宋_GB2312" w:hAnsi="宋体"/>
          <w:sz w:val="32"/>
          <w:szCs w:val="32"/>
        </w:rPr>
      </w:pPr>
      <w:r>
        <w:rPr>
          <w:rFonts w:hint="eastAsia" w:ascii="仿宋_GB2312" w:hAnsi="宋体"/>
          <w:sz w:val="32"/>
          <w:szCs w:val="32"/>
        </w:rPr>
        <w:t>上市公司年度报告的财务会计报告应当经具有执行证券、期货相关业务资格的会计师事务所审计。</w:t>
      </w:r>
    </w:p>
    <w:p>
      <w:pPr>
        <w:numPr>
          <w:ilvl w:val="12"/>
          <w:numId w:val="0"/>
        </w:numPr>
        <w:tabs>
          <w:tab w:val="left" w:pos="-54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上市公司拟实施送股或者以资本公积转增股本的，所依据的半年度报告或者季度报告的财务会计报告应当审计；仅实施现金分红的，可免于审计。</w:t>
      </w:r>
    </w:p>
    <w:p>
      <w:pPr>
        <w:pStyle w:val="34"/>
        <w:numPr>
          <w:ilvl w:val="0"/>
          <w:numId w:val="25"/>
        </w:numPr>
        <w:tabs>
          <w:tab w:val="left" w:pos="1276"/>
          <w:tab w:val="left" w:pos="1418"/>
        </w:tabs>
        <w:spacing w:line="560" w:lineRule="exact"/>
        <w:ind w:left="0" w:firstLine="640"/>
        <w:rPr>
          <w:rFonts w:ascii="仿宋_GB2312" w:hAnsi="宋体"/>
          <w:sz w:val="32"/>
          <w:szCs w:val="32"/>
        </w:rPr>
      </w:pPr>
      <w:r>
        <w:rPr>
          <w:rFonts w:hint="eastAsia" w:ascii="仿宋_GB2312" w:hAnsi="宋体"/>
          <w:sz w:val="32"/>
          <w:szCs w:val="32"/>
        </w:rPr>
        <w:t>上市公司财务会计报告被会计师事务所出具非标准审计意见的，按照《公开发行证券的公司信息披露编报规则第14号——非标准审计意见及其涉及事项的处理》的规定，公司在披露定期报告的同时，应当披露下列文件：</w:t>
      </w:r>
    </w:p>
    <w:p>
      <w:pPr>
        <w:numPr>
          <w:ilvl w:val="12"/>
          <w:numId w:val="0"/>
        </w:numPr>
        <w:tabs>
          <w:tab w:val="left" w:pos="-54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（一）董事会对审计意见涉及事项的专项说明和决议；</w:t>
      </w:r>
    </w:p>
    <w:p>
      <w:pPr>
        <w:numPr>
          <w:ilvl w:val="12"/>
          <w:numId w:val="0"/>
        </w:numPr>
        <w:tabs>
          <w:tab w:val="left" w:pos="-54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（二）监事会对董事会专项说明的意见和决议；</w:t>
      </w:r>
    </w:p>
    <w:p>
      <w:pPr>
        <w:numPr>
          <w:ilvl w:val="12"/>
          <w:numId w:val="0"/>
        </w:numPr>
        <w:tabs>
          <w:tab w:val="left" w:pos="-54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（三）会计师事务所和注册会计师出具的专项说明；</w:t>
      </w:r>
    </w:p>
    <w:p>
      <w:pPr>
        <w:numPr>
          <w:ilvl w:val="12"/>
          <w:numId w:val="0"/>
        </w:numPr>
        <w:tabs>
          <w:tab w:val="left" w:pos="-54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（四）中国证监会和本所要求的其他文件。</w:t>
      </w:r>
    </w:p>
    <w:p>
      <w:pPr>
        <w:pStyle w:val="34"/>
        <w:numPr>
          <w:ilvl w:val="0"/>
          <w:numId w:val="25"/>
        </w:numPr>
        <w:tabs>
          <w:tab w:val="left" w:pos="1276"/>
          <w:tab w:val="left" w:pos="1418"/>
        </w:tabs>
        <w:spacing w:line="560" w:lineRule="exact"/>
        <w:ind w:left="0" w:firstLine="640"/>
        <w:rPr>
          <w:rFonts w:ascii="仿宋_GB2312" w:hAnsi="宋体"/>
          <w:sz w:val="32"/>
          <w:szCs w:val="32"/>
        </w:rPr>
      </w:pPr>
      <w:r>
        <w:rPr>
          <w:rFonts w:hint="eastAsia" w:ascii="仿宋_GB2312" w:hAnsi="宋体"/>
          <w:sz w:val="32"/>
          <w:szCs w:val="32"/>
        </w:rPr>
        <w:t>上市公司财务会计报告被会计师事务所出具非标准审计意见，涉及事项属于明显违反会计准则及相关信息披露规定的，上市公司应当对有关事项进行纠正，并及时披露纠正后的财务会计资料和会计师事务所出具的审计报告或专项鉴证报告等有关材料。</w:t>
      </w:r>
    </w:p>
    <w:p>
      <w:pPr>
        <w:pStyle w:val="34"/>
        <w:numPr>
          <w:ilvl w:val="0"/>
          <w:numId w:val="25"/>
        </w:numPr>
        <w:tabs>
          <w:tab w:val="left" w:pos="1276"/>
          <w:tab w:val="left" w:pos="1418"/>
        </w:tabs>
        <w:spacing w:line="560" w:lineRule="exact"/>
        <w:ind w:left="0" w:firstLine="640"/>
        <w:rPr>
          <w:rFonts w:ascii="仿宋_GB2312" w:hAnsi="宋体"/>
          <w:sz w:val="32"/>
          <w:szCs w:val="32"/>
        </w:rPr>
      </w:pPr>
      <w:r>
        <w:rPr>
          <w:rFonts w:hint="eastAsia" w:ascii="仿宋_GB2312" w:hAnsi="宋体"/>
          <w:sz w:val="32"/>
          <w:szCs w:val="32"/>
        </w:rPr>
        <w:t>上市公司定期报告存在差错或者虚假记载，被有关机关责令改正或者董事会决定更正的，应当在被责令改正或者董事会作出相应决定后，按照中国证监会《公开发行证券的公司信息披露编报规则第</w:t>
      </w:r>
      <w:r>
        <w:rPr>
          <w:rFonts w:ascii="仿宋_GB2312" w:hAnsi="宋体"/>
          <w:sz w:val="32"/>
          <w:szCs w:val="32"/>
        </w:rPr>
        <w:t>19号——财务信息的更正及相关披露》等有关规定，及时披露。</w:t>
      </w:r>
    </w:p>
    <w:p>
      <w:pPr>
        <w:pStyle w:val="34"/>
        <w:numPr>
          <w:ilvl w:val="0"/>
          <w:numId w:val="25"/>
        </w:numPr>
        <w:tabs>
          <w:tab w:val="left" w:pos="1276"/>
          <w:tab w:val="left" w:pos="1418"/>
        </w:tabs>
        <w:spacing w:line="560" w:lineRule="exact"/>
        <w:ind w:left="0" w:firstLine="640"/>
        <w:rPr>
          <w:rFonts w:ascii="仿宋_GB2312" w:hAnsi="宋体"/>
          <w:sz w:val="32"/>
          <w:szCs w:val="32"/>
        </w:rPr>
      </w:pPr>
      <w:r>
        <w:rPr>
          <w:rFonts w:hint="eastAsia" w:ascii="仿宋_GB2312" w:hAnsi="宋体"/>
          <w:sz w:val="32"/>
          <w:szCs w:val="32"/>
        </w:rPr>
        <w:t>上市公司未在规定的期限内披露季度报告，公司股票应当于报告披露期限届满当日停牌一天，届满日为非交易日的，于次一交易日停牌一天。</w:t>
      </w:r>
    </w:p>
    <w:p>
      <w:pPr>
        <w:tabs>
          <w:tab w:val="left" w:pos="108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公司未在规定期限内披露年度报告或者半年度报告的，公司股票应当于报告披露期限届满日起停牌，直至公司披露相关定期报告的当日复牌。公告披露日为非交易日的，则在公告披露后的第一个交易日复牌。公司因未披露年度报告或者半年度报告的停牌期限不超过2个月。停牌期间，公司应当至少发布3次风险提示公告。</w:t>
      </w:r>
    </w:p>
    <w:p>
      <w:pPr>
        <w:tabs>
          <w:tab w:val="left" w:pos="108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公司未披露季度报告的同时存在未披露年度报告或者半年度报告情形的，公司股票应当按照前款有关规定停牌与复牌。</w:t>
      </w:r>
    </w:p>
    <w:p>
      <w:pPr>
        <w:pStyle w:val="34"/>
        <w:numPr>
          <w:ilvl w:val="0"/>
          <w:numId w:val="25"/>
        </w:numPr>
        <w:tabs>
          <w:tab w:val="left" w:pos="1276"/>
          <w:tab w:val="left" w:pos="1418"/>
        </w:tabs>
        <w:spacing w:line="560" w:lineRule="exact"/>
        <w:ind w:left="0" w:firstLine="640"/>
        <w:rPr>
          <w:rFonts w:ascii="仿宋_GB2312" w:hAnsi="宋体"/>
          <w:sz w:val="32"/>
          <w:szCs w:val="32"/>
        </w:rPr>
      </w:pPr>
      <w:r>
        <w:rPr>
          <w:rFonts w:hint="eastAsia" w:ascii="仿宋_GB2312" w:hAnsi="宋体"/>
          <w:sz w:val="32"/>
          <w:szCs w:val="32"/>
        </w:rPr>
        <w:t>上市公司财务会计报告因存在重大会计差错或者虚假记载，被中国证监会责令改正但未在规定期限内改正的，公司股票应当停牌，直至公司披露改正后的财务会计报告当日复牌。公告披露日为非交易日的，则在公告披露后的第一个交易日复牌。</w:t>
      </w:r>
    </w:p>
    <w:p>
      <w:pPr>
        <w:tabs>
          <w:tab w:val="left" w:pos="1276"/>
          <w:tab w:val="left" w:pos="1418"/>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公司因未按要求改正财务会计报告的停牌期限不超过2个月。停牌期间，公司应当至少发布3次风险提示公告。</w:t>
      </w:r>
    </w:p>
    <w:p>
      <w:pPr>
        <w:pStyle w:val="36"/>
        <w:numPr>
          <w:ilvl w:val="1"/>
          <w:numId w:val="1"/>
        </w:numPr>
        <w:ind w:left="0" w:firstLine="643"/>
      </w:pPr>
      <w:bookmarkStart w:id="368" w:name="_Toc15017"/>
      <w:r>
        <w:rPr>
          <w:rFonts w:hint="eastAsia"/>
        </w:rPr>
        <w:t>业绩预告和业绩快报</w:t>
      </w:r>
      <w:bookmarkEnd w:id="368"/>
    </w:p>
    <w:p>
      <w:pPr>
        <w:numPr>
          <w:ilvl w:val="2"/>
          <w:numId w:val="26"/>
        </w:numPr>
        <w:tabs>
          <w:tab w:val="left" w:pos="0"/>
          <w:tab w:val="clear" w:pos="709"/>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上市公司预计年度经营业绩和财务状况将出现下列情形之一的，应当在会计年度结束之日起1个月内进行业绩预告：</w:t>
      </w:r>
    </w:p>
    <w:p>
      <w:pPr>
        <w:numPr>
          <w:ilvl w:val="0"/>
          <w:numId w:val="27"/>
        </w:numPr>
        <w:tabs>
          <w:tab w:val="left" w:pos="-54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净利润为负值；</w:t>
      </w:r>
    </w:p>
    <w:p>
      <w:pPr>
        <w:numPr>
          <w:ilvl w:val="12"/>
          <w:numId w:val="0"/>
        </w:numPr>
        <w:tabs>
          <w:tab w:val="left" w:pos="-540"/>
          <w:tab w:val="left" w:pos="4678"/>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（二）净利润实现扭亏为盈；</w:t>
      </w:r>
    </w:p>
    <w:p>
      <w:pPr>
        <w:numPr>
          <w:ilvl w:val="12"/>
          <w:numId w:val="0"/>
        </w:numPr>
        <w:tabs>
          <w:tab w:val="left" w:pos="-540"/>
          <w:tab w:val="left" w:pos="4678"/>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（三）净利润与上年同期相比上升或者下降50％以上；</w:t>
      </w:r>
    </w:p>
    <w:p>
      <w:pPr>
        <w:numPr>
          <w:ilvl w:val="12"/>
          <w:numId w:val="0"/>
        </w:numPr>
        <w:tabs>
          <w:tab w:val="left" w:pos="-540"/>
          <w:tab w:val="left" w:pos="4678"/>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（四）利润总额、净利润或者扣除非经常性损益后的净利润孰低者为负值，且扣除与主营业务无关的业务收入和不具备商业实质的收入后的营业收入低于1亿元；</w:t>
      </w:r>
    </w:p>
    <w:p>
      <w:pPr>
        <w:numPr>
          <w:ilvl w:val="12"/>
          <w:numId w:val="0"/>
        </w:numPr>
        <w:tabs>
          <w:tab w:val="left" w:pos="-540"/>
          <w:tab w:val="left" w:pos="4678"/>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（五）期末净资产为负值；</w:t>
      </w:r>
    </w:p>
    <w:p>
      <w:pPr>
        <w:numPr>
          <w:ilvl w:val="12"/>
          <w:numId w:val="0"/>
        </w:numPr>
        <w:tabs>
          <w:tab w:val="left" w:pos="-540"/>
          <w:tab w:val="left" w:pos="4678"/>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（六）本所认定的其他情形。                                                                                                                                                                                                                                                                                                                                                                                                                                                                                                                                                                                                                                                                                                                                                                                                                                              </w:t>
      </w:r>
    </w:p>
    <w:p>
      <w:pPr>
        <w:numPr>
          <w:ilvl w:val="12"/>
          <w:numId w:val="0"/>
        </w:numPr>
        <w:tabs>
          <w:tab w:val="left" w:pos="-54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上市公司预计半年度和季度业绩出现前述情形之一的，可以进行业绩预告。</w:t>
      </w:r>
    </w:p>
    <w:p>
      <w:pPr>
        <w:numPr>
          <w:ilvl w:val="12"/>
          <w:numId w:val="0"/>
        </w:numPr>
        <w:tabs>
          <w:tab w:val="left" w:pos="-54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上市公司董事、监事、高级管理人员应当及时、全面了解和关注公司经营情况和财务信息，并和会计师事务所进行必要的沟通，审慎判断是否达到本条规定情形。</w:t>
      </w:r>
    </w:p>
    <w:p>
      <w:pPr>
        <w:numPr>
          <w:ilvl w:val="2"/>
          <w:numId w:val="26"/>
        </w:numPr>
        <w:tabs>
          <w:tab w:val="left" w:pos="0"/>
          <w:tab w:val="clear" w:pos="709"/>
        </w:tabs>
        <w:snapToGrid w:val="0"/>
        <w:spacing w:line="560" w:lineRule="exact"/>
        <w:ind w:left="0" w:firstLine="640" w:firstLineChars="200"/>
        <w:rPr>
          <w:rFonts w:ascii="仿宋_GB2312" w:hAnsi="宋体" w:eastAsia="仿宋_GB2312"/>
          <w:sz w:val="32"/>
          <w:szCs w:val="32"/>
        </w:rPr>
      </w:pPr>
      <w:r>
        <w:rPr>
          <w:rFonts w:hint="eastAsia" w:ascii="仿宋_GB2312" w:hAnsi="黑体" w:eastAsia="仿宋_GB2312"/>
          <w:sz w:val="32"/>
          <w:szCs w:val="32"/>
        </w:rPr>
        <w:t>上市公司</w:t>
      </w:r>
      <w:r>
        <w:rPr>
          <w:rFonts w:hint="eastAsia" w:ascii="仿宋_GB2312" w:hAnsi="宋体" w:eastAsia="仿宋_GB2312"/>
          <w:sz w:val="32"/>
          <w:szCs w:val="32"/>
        </w:rPr>
        <w:t>预计不能在会计年度结束之日起2个月内披露年度报告的，应当在该会计年度结束之日起2个月内按照本规则第</w:t>
      </w:r>
      <w:r>
        <w:rPr>
          <w:rFonts w:ascii="仿宋_GB2312" w:hAnsi="宋体" w:eastAsia="仿宋_GB2312"/>
          <w:sz w:val="32"/>
          <w:szCs w:val="32"/>
        </w:rPr>
        <w:t>6.2.</w:t>
      </w:r>
      <w:r>
        <w:rPr>
          <w:rFonts w:hint="eastAsia" w:ascii="仿宋_GB2312" w:hAnsi="宋体" w:eastAsia="仿宋_GB2312"/>
          <w:sz w:val="32"/>
          <w:szCs w:val="32"/>
        </w:rPr>
        <w:t>5条的要求披露业绩快报。</w:t>
      </w:r>
    </w:p>
    <w:p>
      <w:pPr>
        <w:numPr>
          <w:ilvl w:val="2"/>
          <w:numId w:val="26"/>
        </w:numPr>
        <w:tabs>
          <w:tab w:val="left" w:pos="0"/>
          <w:tab w:val="clear" w:pos="709"/>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上市公司因本规则第</w:t>
      </w:r>
      <w:r>
        <w:rPr>
          <w:rFonts w:ascii="仿宋_GB2312" w:hAnsi="宋体" w:eastAsia="仿宋_GB2312"/>
          <w:sz w:val="32"/>
          <w:szCs w:val="32"/>
        </w:rPr>
        <w:t>12.</w:t>
      </w:r>
      <w:r>
        <w:rPr>
          <w:rFonts w:hint="eastAsia" w:ascii="仿宋_GB2312" w:hAnsi="宋体" w:eastAsia="仿宋_GB2312"/>
          <w:sz w:val="32"/>
          <w:szCs w:val="32"/>
        </w:rPr>
        <w:t>4</w:t>
      </w:r>
      <w:r>
        <w:rPr>
          <w:rFonts w:ascii="仿宋_GB2312" w:hAnsi="宋体" w:eastAsia="仿宋_GB2312"/>
          <w:sz w:val="32"/>
          <w:szCs w:val="32"/>
        </w:rPr>
        <w:t>.2条规定的情形，其股票被实施退市风险警示的，应当于</w:t>
      </w:r>
      <w:r>
        <w:rPr>
          <w:rFonts w:hint="eastAsia" w:ascii="仿宋_GB2312" w:hAnsi="宋体" w:eastAsia="仿宋_GB2312"/>
          <w:sz w:val="32"/>
          <w:szCs w:val="32"/>
        </w:rPr>
        <w:t>会计年度结束之日起1个月内预告全年营业收入、扣除与主营业务无关的业务收入和不具备商业实质的收入后的营业收入、利润总额、净利润、扣除非经常性损益后的净利润和期末净资产。</w:t>
      </w:r>
    </w:p>
    <w:p>
      <w:pPr>
        <w:numPr>
          <w:ilvl w:val="2"/>
          <w:numId w:val="26"/>
        </w:numPr>
        <w:tabs>
          <w:tab w:val="left" w:pos="0"/>
          <w:tab w:val="clear" w:pos="709"/>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上市公司披露业绩预告后，如预计本期经营业绩或者财务状况与已披露的业绩预告存在下列重大差异情形之一的，应当及时披露业绩预告更正公告，说明具体差异及造成差异的原因：</w:t>
      </w:r>
    </w:p>
    <w:p>
      <w:pPr>
        <w:tabs>
          <w:tab w:val="left" w:pos="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（一）因本规则第6.2.1条第一款第一项至第三项情形披露业绩预告的，最新预计的净利润与已披露的业绩预告发生方向性变化的，或者较原预计金额或者范围差异较大；</w:t>
      </w:r>
    </w:p>
    <w:p>
      <w:pPr>
        <w:tabs>
          <w:tab w:val="left" w:pos="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（二）因本规则第6.2.1条第一款第四项、第五项情形披露业绩预告的，最新预计不触及第6.2.1条第一款第四项、第五项的情形；</w:t>
      </w:r>
    </w:p>
    <w:p>
      <w:pPr>
        <w:tabs>
          <w:tab w:val="left" w:pos="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（三）因本规则第6.2.3条情形披露业绩预告的，最新预计的相关财务指标与已披露的业绩预告发生方向性变化的，或者较原预计金额或者范围差异较大；</w:t>
      </w:r>
    </w:p>
    <w:p>
      <w:pPr>
        <w:tabs>
          <w:tab w:val="left" w:pos="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（四）本所规定的其他情形。</w:t>
      </w:r>
    </w:p>
    <w:p>
      <w:pPr>
        <w:numPr>
          <w:ilvl w:val="2"/>
          <w:numId w:val="26"/>
        </w:numPr>
        <w:tabs>
          <w:tab w:val="left" w:pos="0"/>
          <w:tab w:val="clear" w:pos="709"/>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上市公司可以在定期报告披露前发布业绩快报，披露本期及上年同期营业收入、营业利润、利润总额、净利润、总资产、净资产、每股收益、每股净资产和净资产收益率等主要财务数据和指标。</w:t>
      </w:r>
    </w:p>
    <w:p>
      <w:pPr>
        <w:numPr>
          <w:ilvl w:val="12"/>
          <w:numId w:val="0"/>
        </w:numPr>
        <w:tabs>
          <w:tab w:val="left" w:pos="-54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上市公司在定期报告披露前向国家有关机关报送未公开的定期财务数据，预计无法保密的，应当及时发布业绩快报。</w:t>
      </w:r>
    </w:p>
    <w:p>
      <w:pPr>
        <w:numPr>
          <w:ilvl w:val="12"/>
          <w:numId w:val="0"/>
        </w:numPr>
        <w:tabs>
          <w:tab w:val="left" w:pos="-540"/>
        </w:tabs>
        <w:snapToGrid w:val="0"/>
        <w:spacing w:line="560" w:lineRule="exact"/>
        <w:ind w:firstLine="640" w:firstLineChars="200"/>
        <w:rPr>
          <w:rFonts w:ascii="仿宋_GB2312" w:hAnsi="宋体" w:eastAsia="仿宋_GB2312"/>
          <w:sz w:val="32"/>
          <w:szCs w:val="32"/>
        </w:rPr>
      </w:pPr>
      <w:r>
        <w:rPr>
          <w:rFonts w:hint="eastAsia" w:ascii="仿宋_GB2312" w:eastAsia="仿宋_GB2312"/>
          <w:sz w:val="32"/>
          <w:szCs w:val="32"/>
        </w:rPr>
        <w:t>定期报告披露前出现业绩提前泄露，或者因业绩传闻导致公司股票交易异常</w:t>
      </w:r>
      <w:r>
        <w:rPr>
          <w:rFonts w:ascii="仿宋_GB2312" w:eastAsia="仿宋_GB2312"/>
          <w:sz w:val="32"/>
          <w:szCs w:val="32"/>
        </w:rPr>
        <w:t>波动</w:t>
      </w:r>
      <w:r>
        <w:rPr>
          <w:rFonts w:hint="eastAsia" w:ascii="仿宋_GB2312" w:eastAsia="仿宋_GB2312"/>
          <w:sz w:val="32"/>
          <w:szCs w:val="32"/>
        </w:rPr>
        <w:t>的，上市公司应当及时披露业绩快报。</w:t>
      </w:r>
    </w:p>
    <w:p>
      <w:pPr>
        <w:numPr>
          <w:ilvl w:val="2"/>
          <w:numId w:val="26"/>
        </w:numPr>
        <w:tabs>
          <w:tab w:val="left" w:pos="0"/>
          <w:tab w:val="clear" w:pos="709"/>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上市公司应当保证业绩快报与定期报告披露的财务数据和指标不存在重大差异。</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定期报告披露前，上市公司发现业绩快报与定期报告财务数据和指标差异幅度达到10％以上的，应当及时披露更正公告。</w:t>
      </w:r>
    </w:p>
    <w:p>
      <w:pPr>
        <w:snapToGrid w:val="0"/>
        <w:spacing w:line="560" w:lineRule="exact"/>
        <w:ind w:firstLine="640" w:firstLineChars="200"/>
        <w:rPr>
          <w:rFonts w:ascii="仿宋_GB2312" w:hAnsi="宋体" w:eastAsia="仿宋_GB2312"/>
          <w:sz w:val="32"/>
          <w:szCs w:val="32"/>
        </w:rPr>
      </w:pPr>
    </w:p>
    <w:p>
      <w:pPr>
        <w:pStyle w:val="81"/>
        <w:rPr>
          <w:b/>
        </w:rPr>
      </w:pPr>
      <w:bookmarkStart w:id="369" w:name="_Toc2065"/>
      <w:r>
        <w:rPr>
          <w:rFonts w:hint="eastAsia"/>
        </w:rPr>
        <w:t>应当披露的交易</w:t>
      </w:r>
      <w:bookmarkEnd w:id="369"/>
    </w:p>
    <w:p>
      <w:pPr>
        <w:pStyle w:val="36"/>
        <w:numPr>
          <w:ilvl w:val="1"/>
          <w:numId w:val="1"/>
        </w:numPr>
        <w:ind w:left="0" w:firstLine="643"/>
      </w:pPr>
      <w:bookmarkStart w:id="370" w:name="_Toc965"/>
      <w:r>
        <w:rPr>
          <w:rFonts w:hint="eastAsia"/>
        </w:rPr>
        <w:t>重大交易</w:t>
      </w:r>
      <w:bookmarkEnd w:id="370"/>
    </w:p>
    <w:p>
      <w:pPr>
        <w:numPr>
          <w:ilvl w:val="2"/>
          <w:numId w:val="28"/>
        </w:numPr>
        <w:tabs>
          <w:tab w:val="left" w:pos="1276"/>
          <w:tab w:val="left" w:pos="1418"/>
          <w:tab w:val="left" w:pos="156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本章所称“交易”包括下列事项：</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（一）购买或者出售资产；</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（二）对外投资（购买银行理财产品的除外）；</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w:t>
      </w:r>
      <w:r>
        <w:rPr>
          <w:rFonts w:hint="eastAsia" w:ascii="仿宋_GB2312" w:eastAsia="仿宋_GB2312"/>
          <w:sz w:val="32"/>
          <w:szCs w:val="32"/>
        </w:rPr>
        <w:t>转让或受让研发项目</w:t>
      </w:r>
      <w:r>
        <w:rPr>
          <w:rFonts w:hint="eastAsia" w:ascii="仿宋_GB2312" w:hAnsi="宋体" w:eastAsia="仿宋_GB2312"/>
          <w:sz w:val="32"/>
          <w:szCs w:val="32"/>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（四）签订许可使用协议；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（五）提供担保；</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（六）租入或者租出资产；</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（七）委托或者受托管理资产和业务；</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（八）赠与或者受赠资产；</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（九）债权、债务重组；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（十）提供财务资助；</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（十一）本所认定的其他交易。</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上述购买或者出售资产，不包括购买原材料、燃料和动力，以及出售产品或商品等与日常经营相关的交易行为。</w:t>
      </w:r>
    </w:p>
    <w:p>
      <w:pPr>
        <w:numPr>
          <w:ilvl w:val="2"/>
          <w:numId w:val="28"/>
        </w:numPr>
        <w:tabs>
          <w:tab w:val="left" w:pos="709"/>
          <w:tab w:val="left" w:pos="1276"/>
          <w:tab w:val="left" w:pos="1418"/>
          <w:tab w:val="left" w:pos="1560"/>
          <w:tab w:val="clear" w:pos="1107"/>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上市公司发生的交易（提供担保除外）达到下列标准之一的，应当及时披露：　</w:t>
      </w:r>
    </w:p>
    <w:p>
      <w:pPr>
        <w:pStyle w:val="34"/>
        <w:numPr>
          <w:ilvl w:val="3"/>
          <w:numId w:val="29"/>
        </w:numPr>
        <w:tabs>
          <w:tab w:val="left" w:pos="1418"/>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交易涉及的资产总额（同时存在账面值和评估值的，以高者为准）占上市公司最近一期经审计总资产的10%以上；</w:t>
      </w:r>
    </w:p>
    <w:p>
      <w:pPr>
        <w:pStyle w:val="34"/>
        <w:numPr>
          <w:ilvl w:val="3"/>
          <w:numId w:val="29"/>
        </w:numPr>
        <w:tabs>
          <w:tab w:val="left" w:pos="1418"/>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交易的成交金额占上市公司市值的10%以上；</w:t>
      </w:r>
    </w:p>
    <w:p>
      <w:pPr>
        <w:pStyle w:val="34"/>
        <w:numPr>
          <w:ilvl w:val="3"/>
          <w:numId w:val="29"/>
        </w:numPr>
        <w:tabs>
          <w:tab w:val="left" w:pos="1418"/>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交易标的（如股权）的最近一个会计年度资产净额占上市公司市值的10%以上；</w:t>
      </w:r>
    </w:p>
    <w:p>
      <w:pPr>
        <w:pStyle w:val="34"/>
        <w:numPr>
          <w:ilvl w:val="3"/>
          <w:numId w:val="29"/>
        </w:numPr>
        <w:tabs>
          <w:tab w:val="left" w:pos="1418"/>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交易标的（如股权）最近一个会计年度相关的营业收入占上市公司最近一个会计年度经审计营业收入的10％以上，且超过1000万元；</w:t>
      </w:r>
    </w:p>
    <w:p>
      <w:pPr>
        <w:pStyle w:val="34"/>
        <w:numPr>
          <w:ilvl w:val="3"/>
          <w:numId w:val="29"/>
        </w:numPr>
        <w:tabs>
          <w:tab w:val="left" w:pos="1418"/>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交易产生的利润占上市公司最近一个会计年度经审计净利润的10％以上，且超过100万元;</w:t>
      </w:r>
    </w:p>
    <w:p>
      <w:pPr>
        <w:pStyle w:val="34"/>
        <w:numPr>
          <w:ilvl w:val="3"/>
          <w:numId w:val="29"/>
        </w:numPr>
        <w:tabs>
          <w:tab w:val="left" w:pos="1418"/>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交易标的（如股权）最近一个会计年度相关的净利润占上市公司最近一个会计年度经审计净利润的10%以上，且超过100万元。</w:t>
      </w:r>
    </w:p>
    <w:p>
      <w:pPr>
        <w:numPr>
          <w:ilvl w:val="2"/>
          <w:numId w:val="28"/>
        </w:numPr>
        <w:tabs>
          <w:tab w:val="left" w:pos="709"/>
          <w:tab w:val="left" w:pos="1276"/>
          <w:tab w:val="left" w:pos="1418"/>
          <w:tab w:val="left" w:pos="1560"/>
          <w:tab w:val="clear" w:pos="1107"/>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上市公司发生的交易（提供担保除外）达到下列标准之一的，应当提交股东大会审议：</w:t>
      </w:r>
    </w:p>
    <w:p>
      <w:pPr>
        <w:pStyle w:val="34"/>
        <w:numPr>
          <w:ilvl w:val="0"/>
          <w:numId w:val="30"/>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交易涉及的资产总额（同时存在账面值和评估值的，以高者为准）占上市公司最近一期经审计总资产的50%以上；</w:t>
      </w:r>
    </w:p>
    <w:p>
      <w:pPr>
        <w:pStyle w:val="34"/>
        <w:numPr>
          <w:ilvl w:val="0"/>
          <w:numId w:val="30"/>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交易的成交金额占上市公司市值的50％以上；</w:t>
      </w:r>
    </w:p>
    <w:p>
      <w:pPr>
        <w:pStyle w:val="34"/>
        <w:numPr>
          <w:ilvl w:val="0"/>
          <w:numId w:val="30"/>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交易标的（如股权）的最近一个会计年度资产净额占上市公司市值的50%以上；</w:t>
      </w:r>
    </w:p>
    <w:p>
      <w:pPr>
        <w:pStyle w:val="34"/>
        <w:numPr>
          <w:ilvl w:val="0"/>
          <w:numId w:val="30"/>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交易标的（如股权）最近一个会计年度相关的营业收入占上市公司最近一个会计年度经审计营业收入的</w:t>
      </w:r>
      <w:r>
        <w:rPr>
          <w:rFonts w:ascii="仿宋_GB2312" w:hAnsi="宋体"/>
          <w:sz w:val="32"/>
          <w:szCs w:val="32"/>
        </w:rPr>
        <w:t>50％</w:t>
      </w:r>
      <w:r>
        <w:rPr>
          <w:rFonts w:hint="eastAsia" w:ascii="仿宋_GB2312" w:hAnsi="宋体"/>
          <w:sz w:val="32"/>
          <w:szCs w:val="32"/>
        </w:rPr>
        <w:t>以上，且超过5000万元；</w:t>
      </w:r>
    </w:p>
    <w:p>
      <w:pPr>
        <w:pStyle w:val="34"/>
        <w:numPr>
          <w:ilvl w:val="0"/>
          <w:numId w:val="30"/>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交易产生的利润占上市公司最近一个会计年度经审计净利润的50％以上，且超过500万元；</w:t>
      </w:r>
    </w:p>
    <w:p>
      <w:pPr>
        <w:pStyle w:val="34"/>
        <w:numPr>
          <w:ilvl w:val="0"/>
          <w:numId w:val="30"/>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交易标的（如股权）最近一个会计年度相关的净利润占上市公司最近一个会计年度经审计净利润的50％以上，且超过500万元。</w:t>
      </w:r>
    </w:p>
    <w:p>
      <w:pPr>
        <w:numPr>
          <w:ilvl w:val="2"/>
          <w:numId w:val="28"/>
        </w:numPr>
        <w:tabs>
          <w:tab w:val="left" w:pos="1418"/>
          <w:tab w:val="left" w:pos="1560"/>
        </w:tabs>
        <w:autoSpaceDE w:val="0"/>
        <w:autoSpaceDN w:val="0"/>
        <w:adjustRightInd w:val="0"/>
        <w:snapToGrid w:val="0"/>
        <w:spacing w:line="560" w:lineRule="exact"/>
        <w:ind w:left="0" w:firstLine="640" w:firstLineChars="200"/>
        <w:rPr>
          <w:rFonts w:ascii="仿宋_GB2312" w:hAnsi="黑体" w:eastAsia="仿宋_GB2312"/>
          <w:sz w:val="32"/>
          <w:szCs w:val="32"/>
        </w:rPr>
      </w:pPr>
      <w:r>
        <w:rPr>
          <w:rFonts w:hint="eastAsia" w:ascii="仿宋_GB2312" w:hAnsi="宋体" w:eastAsia="仿宋_GB2312"/>
          <w:sz w:val="32"/>
          <w:szCs w:val="32"/>
        </w:rPr>
        <w:t>本规则第7.1.2条和第7.1.3条规定的成交金额，是指</w:t>
      </w:r>
      <w:r>
        <w:rPr>
          <w:rFonts w:hint="eastAsia" w:ascii="仿宋_GB2312" w:hAnsi="黑体" w:eastAsia="仿宋_GB2312"/>
          <w:sz w:val="32"/>
          <w:szCs w:val="32"/>
        </w:rPr>
        <w:t>支付的交易金额和承担的债务及费用等。</w:t>
      </w:r>
    </w:p>
    <w:p>
      <w:pPr>
        <w:tabs>
          <w:tab w:val="left" w:pos="1418"/>
          <w:tab w:val="left" w:pos="1701"/>
          <w:tab w:val="left" w:pos="1843"/>
        </w:tabs>
        <w:autoSpaceDE w:val="0"/>
        <w:autoSpaceDN w:val="0"/>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交易安排涉及未来可能支付或者收取对价的、</w:t>
      </w:r>
      <w:r>
        <w:rPr>
          <w:rFonts w:hint="eastAsia" w:ascii="仿宋_GB2312" w:hAnsi="宋体" w:eastAsia="仿宋_GB2312"/>
          <w:sz w:val="32"/>
          <w:szCs w:val="32"/>
        </w:rPr>
        <w:t>未涉及具体金额或者根据设定条件确定金额的，预计最高金额为成交金额。</w:t>
      </w:r>
    </w:p>
    <w:p>
      <w:pPr>
        <w:numPr>
          <w:ilvl w:val="2"/>
          <w:numId w:val="28"/>
        </w:numPr>
        <w:tabs>
          <w:tab w:val="left" w:pos="1418"/>
          <w:tab w:val="left" w:pos="156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本章规定的市值，是指交易前10个交易日收盘市值的算术平均值。</w:t>
      </w:r>
    </w:p>
    <w:p>
      <w:pPr>
        <w:numPr>
          <w:ilvl w:val="2"/>
          <w:numId w:val="28"/>
        </w:numPr>
        <w:tabs>
          <w:tab w:val="left" w:pos="1418"/>
          <w:tab w:val="left" w:pos="156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上市公司分期实施交易的，应当以交易总额为基础适用第</w:t>
      </w:r>
      <w:r>
        <w:rPr>
          <w:rFonts w:ascii="仿宋_GB2312" w:hAnsi="宋体" w:eastAsia="仿宋_GB2312"/>
          <w:sz w:val="32"/>
          <w:szCs w:val="32"/>
        </w:rPr>
        <w:t>7.1.2</w:t>
      </w:r>
      <w:r>
        <w:rPr>
          <w:rFonts w:hint="eastAsia" w:ascii="仿宋_GB2312" w:hAnsi="宋体" w:eastAsia="仿宋_GB2312"/>
          <w:sz w:val="32"/>
          <w:szCs w:val="32"/>
        </w:rPr>
        <w:t>条或者第</w:t>
      </w:r>
      <w:r>
        <w:rPr>
          <w:rFonts w:ascii="仿宋_GB2312" w:hAnsi="宋体" w:eastAsia="仿宋_GB2312"/>
          <w:sz w:val="32"/>
          <w:szCs w:val="32"/>
        </w:rPr>
        <w:t>7.1.3</w:t>
      </w:r>
      <w:r>
        <w:rPr>
          <w:rFonts w:hint="eastAsia" w:ascii="仿宋_GB2312" w:hAnsi="宋体" w:eastAsia="仿宋_GB2312"/>
          <w:sz w:val="32"/>
          <w:szCs w:val="32"/>
        </w:rPr>
        <w:t>条。</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上市公司应当及时披露分期交易的实际发生情况。</w:t>
      </w:r>
    </w:p>
    <w:p>
      <w:pPr>
        <w:numPr>
          <w:ilvl w:val="2"/>
          <w:numId w:val="28"/>
        </w:numPr>
        <w:tabs>
          <w:tab w:val="left" w:pos="1418"/>
          <w:tab w:val="left" w:pos="156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上市公司与同一交易方同时发生第7.1.1条规定的同一类别且方向相反的交易时，应当按照其中单向金额，适用第</w:t>
      </w:r>
      <w:r>
        <w:rPr>
          <w:rFonts w:ascii="仿宋_GB2312" w:hAnsi="宋体" w:eastAsia="仿宋_GB2312"/>
          <w:sz w:val="32"/>
          <w:szCs w:val="32"/>
        </w:rPr>
        <w:t>7.1.2</w:t>
      </w:r>
      <w:r>
        <w:rPr>
          <w:rFonts w:hint="eastAsia" w:ascii="仿宋_GB2312" w:hAnsi="宋体" w:eastAsia="仿宋_GB2312"/>
          <w:sz w:val="32"/>
          <w:szCs w:val="32"/>
        </w:rPr>
        <w:t>条或者第</w:t>
      </w:r>
      <w:r>
        <w:rPr>
          <w:rFonts w:ascii="仿宋_GB2312" w:hAnsi="宋体" w:eastAsia="仿宋_GB2312"/>
          <w:sz w:val="32"/>
          <w:szCs w:val="32"/>
        </w:rPr>
        <w:t>7.1.3</w:t>
      </w:r>
      <w:r>
        <w:rPr>
          <w:rFonts w:hint="eastAsia" w:ascii="仿宋_GB2312" w:hAnsi="宋体" w:eastAsia="仿宋_GB2312"/>
          <w:sz w:val="32"/>
          <w:szCs w:val="32"/>
        </w:rPr>
        <w:t>条。</w:t>
      </w:r>
    </w:p>
    <w:p>
      <w:pPr>
        <w:numPr>
          <w:ilvl w:val="2"/>
          <w:numId w:val="28"/>
        </w:numPr>
        <w:tabs>
          <w:tab w:val="left" w:pos="1418"/>
          <w:tab w:val="left" w:pos="156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除提供担保、委托理财等本规则及本所业务规则另有规定事项外，上市公司进行第7.1.1条规定的同一类别且与标的相关的交易时，应当按照连续12个月累计计算的原则，适用第7.1.2条或者第7.1.3条。</w:t>
      </w:r>
    </w:p>
    <w:p>
      <w:pPr>
        <w:tabs>
          <w:tab w:val="left" w:pos="1418"/>
        </w:tabs>
        <w:autoSpaceDE w:val="0"/>
        <w:autoSpaceDN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已经按照第7.1.2条或者7.1.3条履行义务的，不再纳入相关的累计计算范围。</w:t>
      </w:r>
    </w:p>
    <w:p>
      <w:pPr>
        <w:numPr>
          <w:ilvl w:val="2"/>
          <w:numId w:val="28"/>
        </w:numPr>
        <w:tabs>
          <w:tab w:val="left" w:pos="709"/>
          <w:tab w:val="left" w:pos="1276"/>
          <w:tab w:val="left" w:pos="1418"/>
          <w:tab w:val="left" w:pos="1560"/>
          <w:tab w:val="clear" w:pos="1107"/>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交易标的为股权且达到第7.1.3条规定标准的，上市公司应当提供交易标的最近一年又一期财务报告的审计报告；交易标的为股权以外的非现金资产的，应当提供评估报告。经审计的财务报告截止日距离审计报告使用日不得超过6个月，评估报告的评估基准日距离评估报告使用日不得超过1年。</w:t>
      </w:r>
    </w:p>
    <w:p>
      <w:pPr>
        <w:tabs>
          <w:tab w:val="left" w:pos="1276"/>
          <w:tab w:val="left" w:pos="1418"/>
          <w:tab w:val="left" w:pos="1560"/>
        </w:tabs>
        <w:autoSpaceDE w:val="0"/>
        <w:autoSpaceDN w:val="0"/>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 xml:space="preserve">    前款规定的审计报告和评估报告应当由具有执行证券、期货相关业务资格的证券服务机构出具。</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交易虽未达到第7.1.3条规定的标准，但本所认为有必要的，公司应当提供审计或者评估报告。</w:t>
      </w:r>
    </w:p>
    <w:p>
      <w:pPr>
        <w:numPr>
          <w:ilvl w:val="2"/>
          <w:numId w:val="28"/>
        </w:numPr>
        <w:tabs>
          <w:tab w:val="left" w:pos="1418"/>
          <w:tab w:val="left" w:pos="156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上市公司发生股权交易，导致上市公司合并报表范围发生变更的，应当以该股权所对应公司的相关财务指标作为计算基础，适用第7.1.2</w:t>
      </w:r>
      <w:r>
        <w:rPr>
          <w:rFonts w:ascii="仿宋_GB2312" w:hAnsi="宋体" w:eastAsia="仿宋_GB2312"/>
          <w:sz w:val="32"/>
          <w:szCs w:val="32"/>
        </w:rPr>
        <w:t>条或者第</w:t>
      </w:r>
      <w:r>
        <w:rPr>
          <w:rFonts w:hint="eastAsia" w:ascii="仿宋_GB2312" w:hAnsi="宋体" w:eastAsia="仿宋_GB2312"/>
          <w:sz w:val="32"/>
          <w:szCs w:val="32"/>
        </w:rPr>
        <w:t>7.1.3条。</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前述股权交易未导致合并报表范围发生变更的，应当按照公司所持权益变动比例计算相关财务指标，适用第</w:t>
      </w:r>
      <w:r>
        <w:rPr>
          <w:rFonts w:ascii="仿宋_GB2312" w:hAnsi="宋体" w:eastAsia="仿宋_GB2312"/>
          <w:sz w:val="32"/>
          <w:szCs w:val="32"/>
        </w:rPr>
        <w:t>7.1.2条或者第7.1.3</w:t>
      </w:r>
      <w:r>
        <w:rPr>
          <w:rFonts w:hint="eastAsia" w:ascii="仿宋_GB2312" w:hAnsi="宋体" w:eastAsia="仿宋_GB2312"/>
          <w:sz w:val="32"/>
          <w:szCs w:val="32"/>
        </w:rPr>
        <w:t>条。</w:t>
      </w:r>
    </w:p>
    <w:p>
      <w:pPr>
        <w:numPr>
          <w:ilvl w:val="2"/>
          <w:numId w:val="28"/>
        </w:numPr>
        <w:tabs>
          <w:tab w:val="left" w:pos="1418"/>
          <w:tab w:val="left" w:pos="1560"/>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上市公司直接或者间接放弃控股子公司股权的优先受让权或增资权，导致子公司不再纳入合并报表的，应当视为出售股权资产，以该股权所对应公司相关财务指标作为计算基础，适用第</w:t>
      </w:r>
      <w:r>
        <w:rPr>
          <w:rFonts w:ascii="仿宋_GB2312" w:hAnsi="宋体" w:eastAsia="仿宋_GB2312"/>
          <w:sz w:val="32"/>
          <w:szCs w:val="32"/>
        </w:rPr>
        <w:t>7.1.2条或者第7.1.3</w:t>
      </w:r>
      <w:r>
        <w:rPr>
          <w:rFonts w:hint="eastAsia" w:ascii="仿宋_GB2312" w:hAnsi="宋体" w:eastAsia="仿宋_GB2312"/>
          <w:sz w:val="32"/>
          <w:szCs w:val="32"/>
        </w:rPr>
        <w:t>条。</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上市公司部分放弃控股子公司或者参股子公司股权的优先受让权或增资权，未导致合并报表范围发生变更，但公司持股比例下降，应当按照公司所持权益变动比例计算相关财务指标，适用第</w:t>
      </w:r>
      <w:r>
        <w:rPr>
          <w:rFonts w:ascii="仿宋_GB2312" w:hAnsi="宋体" w:eastAsia="仿宋_GB2312"/>
          <w:sz w:val="32"/>
          <w:szCs w:val="32"/>
        </w:rPr>
        <w:t>7.1.2</w:t>
      </w:r>
      <w:r>
        <w:rPr>
          <w:rFonts w:hint="eastAsia" w:ascii="仿宋_GB2312" w:hAnsi="宋体" w:eastAsia="仿宋_GB2312"/>
          <w:sz w:val="32"/>
          <w:szCs w:val="32"/>
        </w:rPr>
        <w:t>条或者第</w:t>
      </w:r>
      <w:r>
        <w:rPr>
          <w:rFonts w:ascii="仿宋_GB2312" w:hAnsi="宋体" w:eastAsia="仿宋_GB2312"/>
          <w:sz w:val="32"/>
          <w:szCs w:val="32"/>
        </w:rPr>
        <w:t>7.1.3</w:t>
      </w:r>
      <w:r>
        <w:rPr>
          <w:rFonts w:hint="eastAsia" w:ascii="仿宋_GB2312" w:hAnsi="宋体" w:eastAsia="仿宋_GB2312"/>
          <w:sz w:val="32"/>
          <w:szCs w:val="32"/>
        </w:rPr>
        <w:t>条</w:t>
      </w:r>
      <w:r>
        <w:rPr>
          <w:rFonts w:ascii="仿宋_GB2312" w:hAnsi="宋体" w:eastAsia="仿宋_GB2312"/>
          <w:sz w:val="32"/>
          <w:szCs w:val="32"/>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上市公司对其下属非公司制主体放弃或部分放弃收益权的，参照适用前两款规定。</w:t>
      </w:r>
    </w:p>
    <w:p>
      <w:pPr>
        <w:numPr>
          <w:ilvl w:val="2"/>
          <w:numId w:val="28"/>
        </w:numPr>
        <w:tabs>
          <w:tab w:val="left" w:pos="1418"/>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上市公司提供财务资助，应当以交易发生额作为成交额，适用第7.1</w:t>
      </w:r>
      <w:r>
        <w:rPr>
          <w:rFonts w:ascii="仿宋_GB2312" w:hAnsi="宋体" w:eastAsia="仿宋_GB2312"/>
          <w:sz w:val="32"/>
          <w:szCs w:val="32"/>
        </w:rPr>
        <w:t>.</w:t>
      </w:r>
      <w:r>
        <w:rPr>
          <w:rFonts w:hint="eastAsia" w:ascii="仿宋_GB2312" w:hAnsi="宋体" w:eastAsia="仿宋_GB2312"/>
          <w:sz w:val="32"/>
          <w:szCs w:val="32"/>
        </w:rPr>
        <w:t>2</w:t>
      </w:r>
      <w:r>
        <w:rPr>
          <w:rFonts w:ascii="仿宋_GB2312" w:hAnsi="宋体" w:eastAsia="仿宋_GB2312"/>
          <w:sz w:val="32"/>
          <w:szCs w:val="32"/>
        </w:rPr>
        <w:t>条</w:t>
      </w:r>
      <w:r>
        <w:rPr>
          <w:rFonts w:hint="eastAsia" w:ascii="仿宋_GB2312" w:hAnsi="宋体" w:eastAsia="仿宋_GB2312"/>
          <w:sz w:val="32"/>
          <w:szCs w:val="32"/>
        </w:rPr>
        <w:t>第二项或者</w:t>
      </w:r>
      <w:r>
        <w:rPr>
          <w:rFonts w:ascii="仿宋_GB2312" w:hAnsi="宋体" w:eastAsia="仿宋_GB2312"/>
          <w:sz w:val="32"/>
          <w:szCs w:val="32"/>
        </w:rPr>
        <w:t>第</w:t>
      </w:r>
      <w:r>
        <w:rPr>
          <w:rFonts w:hint="eastAsia" w:ascii="仿宋_GB2312" w:hAnsi="宋体" w:eastAsia="仿宋_GB2312"/>
          <w:sz w:val="32"/>
          <w:szCs w:val="32"/>
        </w:rPr>
        <w:t>7.1</w:t>
      </w:r>
      <w:r>
        <w:rPr>
          <w:rFonts w:ascii="仿宋_GB2312" w:hAnsi="宋体" w:eastAsia="仿宋_GB2312"/>
          <w:sz w:val="32"/>
          <w:szCs w:val="32"/>
        </w:rPr>
        <w:t>.</w:t>
      </w:r>
      <w:r>
        <w:rPr>
          <w:rFonts w:hint="eastAsia" w:ascii="仿宋_GB2312" w:hAnsi="宋体" w:eastAsia="仿宋_GB2312"/>
          <w:sz w:val="32"/>
          <w:szCs w:val="32"/>
        </w:rPr>
        <w:t>3条第二项。</w:t>
      </w:r>
    </w:p>
    <w:p>
      <w:pPr>
        <w:numPr>
          <w:ilvl w:val="2"/>
          <w:numId w:val="28"/>
        </w:numPr>
        <w:tabs>
          <w:tab w:val="left" w:pos="1418"/>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黑体" w:eastAsia="仿宋_GB2312"/>
          <w:sz w:val="32"/>
          <w:szCs w:val="32"/>
        </w:rPr>
        <w:t>上市公司</w:t>
      </w:r>
      <w:r>
        <w:rPr>
          <w:rFonts w:hint="eastAsia" w:ascii="仿宋_GB2312" w:hAnsi="宋体" w:eastAsia="仿宋_GB2312"/>
          <w:sz w:val="32"/>
          <w:szCs w:val="32"/>
        </w:rPr>
        <w:t>连续12个月滚动发生委托理财的，以该期间最高余额为成交额，适用第7.1</w:t>
      </w:r>
      <w:r>
        <w:rPr>
          <w:rFonts w:ascii="仿宋_GB2312" w:hAnsi="宋体" w:eastAsia="仿宋_GB2312"/>
          <w:sz w:val="32"/>
          <w:szCs w:val="32"/>
        </w:rPr>
        <w:t>.</w:t>
      </w:r>
      <w:r>
        <w:rPr>
          <w:rFonts w:hint="eastAsia" w:ascii="仿宋_GB2312" w:hAnsi="宋体" w:eastAsia="仿宋_GB2312"/>
          <w:sz w:val="32"/>
          <w:szCs w:val="32"/>
        </w:rPr>
        <w:t>2</w:t>
      </w:r>
      <w:r>
        <w:rPr>
          <w:rFonts w:ascii="仿宋_GB2312" w:hAnsi="宋体" w:eastAsia="仿宋_GB2312"/>
          <w:sz w:val="32"/>
          <w:szCs w:val="32"/>
        </w:rPr>
        <w:t>条</w:t>
      </w:r>
      <w:r>
        <w:rPr>
          <w:rFonts w:hint="eastAsia" w:ascii="仿宋_GB2312" w:hAnsi="宋体" w:eastAsia="仿宋_GB2312"/>
          <w:sz w:val="32"/>
          <w:szCs w:val="32"/>
        </w:rPr>
        <w:t>第二项或者</w:t>
      </w:r>
      <w:r>
        <w:rPr>
          <w:rFonts w:ascii="仿宋_GB2312" w:hAnsi="宋体" w:eastAsia="仿宋_GB2312"/>
          <w:sz w:val="32"/>
          <w:szCs w:val="32"/>
        </w:rPr>
        <w:t>第</w:t>
      </w:r>
      <w:r>
        <w:rPr>
          <w:rFonts w:hint="eastAsia" w:ascii="仿宋_GB2312" w:hAnsi="宋体" w:eastAsia="仿宋_GB2312"/>
          <w:sz w:val="32"/>
          <w:szCs w:val="32"/>
        </w:rPr>
        <w:t>7.1</w:t>
      </w:r>
      <w:r>
        <w:rPr>
          <w:rFonts w:ascii="仿宋_GB2312" w:hAnsi="宋体" w:eastAsia="仿宋_GB2312"/>
          <w:sz w:val="32"/>
          <w:szCs w:val="32"/>
        </w:rPr>
        <w:t>.</w:t>
      </w:r>
      <w:r>
        <w:rPr>
          <w:rFonts w:hint="eastAsia" w:ascii="仿宋_GB2312" w:hAnsi="宋体" w:eastAsia="仿宋_GB2312"/>
          <w:sz w:val="32"/>
          <w:szCs w:val="32"/>
        </w:rPr>
        <w:t>3条第二项。</w:t>
      </w:r>
    </w:p>
    <w:p>
      <w:pPr>
        <w:numPr>
          <w:ilvl w:val="2"/>
          <w:numId w:val="28"/>
        </w:numPr>
        <w:tabs>
          <w:tab w:val="left" w:pos="1418"/>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上市公司发生租入资产或者受托管理资产交易的，应当以租金或者收入为计算基础，适用第7.1.2</w:t>
      </w:r>
      <w:r>
        <w:rPr>
          <w:rFonts w:ascii="仿宋_GB2312" w:hAnsi="宋体" w:eastAsia="仿宋_GB2312"/>
          <w:sz w:val="32"/>
          <w:szCs w:val="32"/>
        </w:rPr>
        <w:t>条</w:t>
      </w:r>
      <w:r>
        <w:rPr>
          <w:rFonts w:hint="eastAsia" w:ascii="仿宋_GB2312" w:hAnsi="宋体" w:eastAsia="仿宋_GB2312"/>
          <w:sz w:val="32"/>
          <w:szCs w:val="32"/>
        </w:rPr>
        <w:t>第四项</w:t>
      </w:r>
      <w:r>
        <w:rPr>
          <w:rFonts w:ascii="仿宋_GB2312" w:hAnsi="宋体" w:eastAsia="仿宋_GB2312"/>
          <w:sz w:val="32"/>
          <w:szCs w:val="32"/>
        </w:rPr>
        <w:t>或者第</w:t>
      </w:r>
      <w:r>
        <w:rPr>
          <w:rFonts w:hint="eastAsia" w:ascii="仿宋_GB2312" w:hAnsi="宋体" w:eastAsia="仿宋_GB2312"/>
          <w:sz w:val="32"/>
          <w:szCs w:val="32"/>
        </w:rPr>
        <w:t>7.1.3条第四项。</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上市公司发生租出资产或者委托他人管理资产交易的，应当以总资产额、租金收入或者管理费为计算基础，适用第7.1.2</w:t>
      </w:r>
      <w:r>
        <w:rPr>
          <w:rFonts w:ascii="仿宋_GB2312" w:hAnsi="宋体" w:eastAsia="仿宋_GB2312"/>
          <w:sz w:val="32"/>
          <w:szCs w:val="32"/>
        </w:rPr>
        <w:t>条</w:t>
      </w:r>
      <w:r>
        <w:rPr>
          <w:rFonts w:hint="eastAsia" w:ascii="仿宋_GB2312" w:hAnsi="宋体" w:eastAsia="仿宋_GB2312"/>
          <w:sz w:val="32"/>
          <w:szCs w:val="32"/>
        </w:rPr>
        <w:t>第一项、第四项</w:t>
      </w:r>
      <w:r>
        <w:rPr>
          <w:rFonts w:ascii="仿宋_GB2312" w:hAnsi="宋体" w:eastAsia="仿宋_GB2312"/>
          <w:sz w:val="32"/>
          <w:szCs w:val="32"/>
        </w:rPr>
        <w:t>或者第</w:t>
      </w:r>
      <w:r>
        <w:rPr>
          <w:rFonts w:hint="eastAsia" w:ascii="仿宋_GB2312" w:hAnsi="宋体" w:eastAsia="仿宋_GB2312"/>
          <w:sz w:val="32"/>
          <w:szCs w:val="32"/>
        </w:rPr>
        <w:t>7.1.3条第一项、第四项。</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受托经营、租入资产或者委托他人管理、租出资产，导致公司合并报表范围发生变更的，应当视为购买或者出售资产。</w:t>
      </w:r>
    </w:p>
    <w:p>
      <w:pPr>
        <w:numPr>
          <w:ilvl w:val="2"/>
          <w:numId w:val="28"/>
        </w:numPr>
        <w:tabs>
          <w:tab w:val="left" w:pos="0"/>
          <w:tab w:val="left" w:pos="1418"/>
          <w:tab w:val="clear" w:pos="1107"/>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上市公司发生日常经营范围内的交易，达到下列标准之一的，应当及时进行披露：</w:t>
      </w:r>
    </w:p>
    <w:p>
      <w:pPr>
        <w:pStyle w:val="34"/>
        <w:numPr>
          <w:ilvl w:val="0"/>
          <w:numId w:val="31"/>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交易金额占上市公司最近一期经审计总资产的50%以上，且绝对金额超过1亿元；</w:t>
      </w:r>
    </w:p>
    <w:p>
      <w:pPr>
        <w:pStyle w:val="34"/>
        <w:numPr>
          <w:ilvl w:val="0"/>
          <w:numId w:val="31"/>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交易金额占上市公司最近一个会计年度经审计营业收入或营业成本的50%以上，且超过1亿元；</w:t>
      </w:r>
    </w:p>
    <w:p>
      <w:pPr>
        <w:pStyle w:val="34"/>
        <w:numPr>
          <w:ilvl w:val="0"/>
          <w:numId w:val="31"/>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交易预计产生的利润总额占上市公司最近一个会计年度经审计净利润的50%以上，且超过500万元；</w:t>
      </w:r>
    </w:p>
    <w:p>
      <w:pPr>
        <w:pStyle w:val="34"/>
        <w:numPr>
          <w:ilvl w:val="0"/>
          <w:numId w:val="31"/>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其他可能对上市公司的资产、负债、权益和经营成果产生重大影响的交易。</w:t>
      </w:r>
    </w:p>
    <w:p>
      <w:pPr>
        <w:numPr>
          <w:ilvl w:val="2"/>
          <w:numId w:val="28"/>
        </w:numPr>
        <w:tabs>
          <w:tab w:val="left" w:pos="1418"/>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上市公司提供担保的，应当提交董事会或者股东大会进行审议，并及时披露。</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上市公司下列担保事项应当在董事会审议通过后提交股东大会审议：</w:t>
      </w:r>
    </w:p>
    <w:p>
      <w:pPr>
        <w:pStyle w:val="34"/>
        <w:numPr>
          <w:ilvl w:val="0"/>
          <w:numId w:val="32"/>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单笔担保额超过公司最近一期经审计净资产10％的担保；</w:t>
      </w:r>
    </w:p>
    <w:p>
      <w:pPr>
        <w:pStyle w:val="34"/>
        <w:numPr>
          <w:ilvl w:val="0"/>
          <w:numId w:val="32"/>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公司及其控股子公司的对外担保总额，超过公司最近一期经审计净资产50％以后提供的任何担保；</w:t>
      </w:r>
    </w:p>
    <w:p>
      <w:pPr>
        <w:pStyle w:val="34"/>
        <w:numPr>
          <w:ilvl w:val="0"/>
          <w:numId w:val="32"/>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为资产负债率超过70％的担保对象提供的担保；</w:t>
      </w:r>
    </w:p>
    <w:p>
      <w:pPr>
        <w:pStyle w:val="34"/>
        <w:numPr>
          <w:ilvl w:val="0"/>
          <w:numId w:val="32"/>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按照担保金额连续12个月累计计算原则，超过公司最近一期经审计总资产30％的担保；</w:t>
      </w:r>
    </w:p>
    <w:p>
      <w:pPr>
        <w:pStyle w:val="34"/>
        <w:numPr>
          <w:ilvl w:val="0"/>
          <w:numId w:val="32"/>
        </w:numPr>
        <w:tabs>
          <w:tab w:val="left" w:pos="1418"/>
          <w:tab w:val="left" w:pos="1701"/>
          <w:tab w:val="left" w:pos="1843"/>
        </w:tabs>
        <w:autoSpaceDE w:val="0"/>
        <w:autoSpaceDN w:val="0"/>
        <w:adjustRightInd w:val="0"/>
        <w:snapToGrid w:val="0"/>
        <w:spacing w:line="560" w:lineRule="exact"/>
        <w:ind w:left="0" w:firstLine="709" w:firstLineChars="0"/>
        <w:rPr>
          <w:rFonts w:ascii="仿宋_GB2312" w:hAnsi="宋体"/>
          <w:sz w:val="32"/>
          <w:szCs w:val="32"/>
        </w:rPr>
      </w:pPr>
      <w:r>
        <w:rPr>
          <w:rFonts w:hint="eastAsia" w:ascii="仿宋_GB2312" w:hAnsi="宋体"/>
          <w:sz w:val="32"/>
          <w:szCs w:val="32"/>
        </w:rPr>
        <w:t>本所或者公司章程规定的其他担保。</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对于董事会权限范围内的担保事项，除应当经全体董事的过半数通过外，还应当经出席董事会会议的三分之二以上董事同意；前款第四项担保，应当经出席股东大会的股东所持表决权的三分之二以上通过。</w:t>
      </w:r>
    </w:p>
    <w:p>
      <w:pPr>
        <w:numPr>
          <w:ilvl w:val="2"/>
          <w:numId w:val="28"/>
        </w:numPr>
        <w:tabs>
          <w:tab w:val="left" w:pos="1418"/>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上市公司为全资子公司提供担保，或者为控股子公司提供担保且控股子公司其他股东按所享有的权益提供同等比例担保，</w:t>
      </w:r>
      <w:r>
        <w:rPr>
          <w:rFonts w:hint="eastAsia" w:ascii="仿宋_GB2312" w:hAnsi="黑体" w:eastAsia="仿宋_GB2312"/>
          <w:sz w:val="32"/>
          <w:szCs w:val="32"/>
        </w:rPr>
        <w:t>不损害上市公司利益</w:t>
      </w:r>
      <w:r>
        <w:rPr>
          <w:rFonts w:hint="eastAsia" w:ascii="仿宋_GB2312" w:hAnsi="宋体" w:eastAsia="仿宋_GB2312"/>
          <w:sz w:val="32"/>
          <w:szCs w:val="32"/>
        </w:rPr>
        <w:t>的，可以豁免适用第7.1.16条第一项至第三项的规定，但是公司章程另有规定除外。上市公司应当在年度报告和半年度报告中汇总披露前述担保。</w:t>
      </w:r>
    </w:p>
    <w:p>
      <w:pPr>
        <w:numPr>
          <w:ilvl w:val="2"/>
          <w:numId w:val="28"/>
        </w:numPr>
        <w:tabs>
          <w:tab w:val="left" w:pos="1418"/>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上市公司提供担保，被担保人于债务到期后15个交易日内未履行偿债义务，或者被担保人出现破产、清算或其他严重影响其偿债能力情形的，上市公司应当及时披露。</w:t>
      </w:r>
    </w:p>
    <w:p>
      <w:pPr>
        <w:numPr>
          <w:ilvl w:val="2"/>
          <w:numId w:val="28"/>
        </w:numPr>
        <w:tabs>
          <w:tab w:val="left" w:pos="1418"/>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购买、出售资产交易，涉及资产总额或者成交金额连续12个月内累计计算超过公司最近一期经审计总资产30%的，除应当披露并参照第7.1.9条规定进行审计或者评估外，还应当提交股东大会审议，并经出席会议的股东所持表决权的三分之二以上通过。</w:t>
      </w:r>
    </w:p>
    <w:p>
      <w:pPr>
        <w:numPr>
          <w:ilvl w:val="2"/>
          <w:numId w:val="28"/>
        </w:numPr>
        <w:tabs>
          <w:tab w:val="left" w:pos="1418"/>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上市公司单方面获得利益的交易，包括受赠现金资产、获得债务减免、接受担保和资助等，可免于按照第</w:t>
      </w:r>
      <w:r>
        <w:rPr>
          <w:rFonts w:ascii="仿宋_GB2312" w:hAnsi="宋体" w:eastAsia="仿宋_GB2312"/>
          <w:sz w:val="32"/>
          <w:szCs w:val="32"/>
        </w:rPr>
        <w:t>7.1.3</w:t>
      </w:r>
      <w:r>
        <w:rPr>
          <w:rFonts w:hint="eastAsia" w:ascii="仿宋_GB2312" w:hAnsi="宋体" w:eastAsia="仿宋_GB2312"/>
          <w:sz w:val="32"/>
          <w:szCs w:val="32"/>
        </w:rPr>
        <w:t>条的规定履行股东大会审议程序。</w:t>
      </w:r>
    </w:p>
    <w:p>
      <w:pPr>
        <w:numPr>
          <w:ilvl w:val="2"/>
          <w:numId w:val="28"/>
        </w:numPr>
        <w:tabs>
          <w:tab w:val="left" w:pos="1418"/>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未盈利的上市公司可以豁免适用第7.1.2条、第7.1.3条或者第7.1.15条的净利润指标</w:t>
      </w:r>
      <w:r>
        <w:rPr>
          <w:rFonts w:ascii="仿宋_GB2312" w:hAnsi="宋体" w:eastAsia="仿宋_GB2312"/>
          <w:sz w:val="32"/>
          <w:szCs w:val="32"/>
        </w:rPr>
        <w:t>。</w:t>
      </w:r>
    </w:p>
    <w:p>
      <w:pPr>
        <w:pStyle w:val="36"/>
        <w:numPr>
          <w:ilvl w:val="1"/>
          <w:numId w:val="1"/>
        </w:numPr>
        <w:ind w:left="0" w:firstLine="643"/>
      </w:pPr>
      <w:bookmarkStart w:id="371" w:name="_Toc530093640"/>
      <w:bookmarkEnd w:id="371"/>
      <w:bookmarkStart w:id="372" w:name="_Toc530093629"/>
      <w:bookmarkEnd w:id="372"/>
      <w:bookmarkStart w:id="373" w:name="_Toc530093715"/>
      <w:bookmarkEnd w:id="373"/>
      <w:bookmarkStart w:id="374" w:name="_Toc530093410"/>
      <w:bookmarkEnd w:id="374"/>
      <w:bookmarkStart w:id="375" w:name="_Toc530090867"/>
      <w:bookmarkEnd w:id="375"/>
      <w:bookmarkStart w:id="376" w:name="_Toc530093469"/>
      <w:bookmarkEnd w:id="376"/>
      <w:bookmarkStart w:id="377" w:name="_Toc530093742"/>
      <w:bookmarkEnd w:id="377"/>
      <w:bookmarkStart w:id="378" w:name="_Toc530093719"/>
      <w:bookmarkEnd w:id="378"/>
      <w:bookmarkStart w:id="379" w:name="_Toc530093397"/>
      <w:bookmarkEnd w:id="379"/>
      <w:bookmarkStart w:id="380" w:name="_Toc530090843"/>
      <w:bookmarkEnd w:id="380"/>
      <w:bookmarkStart w:id="381" w:name="_Toc530093395"/>
      <w:bookmarkEnd w:id="381"/>
      <w:bookmarkStart w:id="382" w:name="_Toc530093656"/>
      <w:bookmarkEnd w:id="382"/>
      <w:bookmarkStart w:id="383" w:name="_Toc530090860"/>
      <w:bookmarkEnd w:id="383"/>
      <w:bookmarkStart w:id="384" w:name="_Toc530093740"/>
      <w:bookmarkEnd w:id="384"/>
      <w:bookmarkStart w:id="385" w:name="_Toc530093641"/>
      <w:bookmarkEnd w:id="385"/>
      <w:bookmarkStart w:id="386" w:name="_Toc530093728"/>
      <w:bookmarkEnd w:id="386"/>
      <w:bookmarkStart w:id="387" w:name="_Toc530090855"/>
      <w:bookmarkEnd w:id="387"/>
      <w:bookmarkStart w:id="388" w:name="_Toc530093416"/>
      <w:bookmarkEnd w:id="388"/>
      <w:bookmarkStart w:id="389" w:name="_Toc530093624"/>
      <w:bookmarkEnd w:id="389"/>
      <w:bookmarkStart w:id="390" w:name="_Toc530090835"/>
      <w:bookmarkEnd w:id="390"/>
      <w:bookmarkStart w:id="391" w:name="_Toc530093464"/>
      <w:bookmarkEnd w:id="391"/>
      <w:bookmarkStart w:id="392" w:name="_Toc530093623"/>
      <w:bookmarkEnd w:id="392"/>
      <w:bookmarkStart w:id="393" w:name="_Toc530093714"/>
      <w:bookmarkEnd w:id="393"/>
      <w:bookmarkStart w:id="394" w:name="_Toc530093720"/>
      <w:bookmarkEnd w:id="394"/>
      <w:bookmarkStart w:id="395" w:name="_Toc530090837"/>
      <w:bookmarkEnd w:id="395"/>
      <w:bookmarkStart w:id="396" w:name="_Toc530093402"/>
      <w:bookmarkEnd w:id="396"/>
      <w:bookmarkStart w:id="397" w:name="_Toc530093411"/>
      <w:bookmarkEnd w:id="397"/>
      <w:bookmarkStart w:id="398" w:name="_Toc530093625"/>
      <w:bookmarkEnd w:id="398"/>
      <w:bookmarkStart w:id="399" w:name="_Toc530093376"/>
      <w:bookmarkEnd w:id="399"/>
      <w:bookmarkStart w:id="400" w:name="_Toc530093400"/>
      <w:bookmarkEnd w:id="400"/>
      <w:bookmarkStart w:id="401" w:name="_Toc530090858"/>
      <w:bookmarkEnd w:id="401"/>
      <w:bookmarkStart w:id="402" w:name="_Toc530090866"/>
      <w:bookmarkEnd w:id="402"/>
      <w:bookmarkStart w:id="403" w:name="_Toc530090857"/>
      <w:bookmarkEnd w:id="403"/>
      <w:bookmarkStart w:id="404" w:name="_Toc530093726"/>
      <w:bookmarkEnd w:id="404"/>
      <w:bookmarkStart w:id="405" w:name="_Toc530090834"/>
      <w:bookmarkEnd w:id="405"/>
      <w:bookmarkStart w:id="406" w:name="_Toc530093384"/>
      <w:bookmarkEnd w:id="406"/>
      <w:bookmarkStart w:id="407" w:name="_Toc530093378"/>
      <w:bookmarkEnd w:id="407"/>
      <w:bookmarkStart w:id="408" w:name="_Toc530093744"/>
      <w:bookmarkEnd w:id="408"/>
      <w:bookmarkStart w:id="409" w:name="_Toc530090844"/>
      <w:bookmarkEnd w:id="409"/>
      <w:bookmarkStart w:id="410" w:name="_Toc530093471"/>
      <w:bookmarkEnd w:id="410"/>
      <w:bookmarkStart w:id="411" w:name="_Toc530093418"/>
      <w:bookmarkEnd w:id="411"/>
      <w:bookmarkStart w:id="412" w:name="_Toc530093457"/>
      <w:bookmarkEnd w:id="412"/>
      <w:bookmarkStart w:id="413" w:name="_Toc530090831"/>
      <w:bookmarkEnd w:id="413"/>
      <w:bookmarkStart w:id="414" w:name="_Toc530093710"/>
      <w:bookmarkEnd w:id="414"/>
      <w:bookmarkStart w:id="415" w:name="_Toc530093662"/>
      <w:bookmarkEnd w:id="415"/>
      <w:bookmarkStart w:id="416" w:name="_Toc530093619"/>
      <w:bookmarkEnd w:id="416"/>
      <w:bookmarkStart w:id="417" w:name="_Toc530093621"/>
      <w:bookmarkEnd w:id="417"/>
      <w:bookmarkStart w:id="418" w:name="_Toc530093638"/>
      <w:bookmarkEnd w:id="418"/>
      <w:bookmarkStart w:id="419" w:name="_Toc530093648"/>
      <w:bookmarkEnd w:id="419"/>
      <w:bookmarkStart w:id="420" w:name="_Toc530093375"/>
      <w:bookmarkEnd w:id="420"/>
      <w:bookmarkStart w:id="421" w:name="_Toc530127392"/>
      <w:bookmarkEnd w:id="421"/>
      <w:bookmarkStart w:id="422" w:name="_Toc530093627"/>
      <w:bookmarkEnd w:id="422"/>
      <w:bookmarkStart w:id="423" w:name="_Toc530093708"/>
      <w:bookmarkEnd w:id="423"/>
      <w:bookmarkStart w:id="424" w:name="_Toc530093646"/>
      <w:bookmarkEnd w:id="424"/>
      <w:bookmarkStart w:id="425" w:name="_Toc530093732"/>
      <w:bookmarkEnd w:id="425"/>
      <w:bookmarkStart w:id="426" w:name="_Toc530093486"/>
      <w:bookmarkEnd w:id="426"/>
      <w:bookmarkStart w:id="427" w:name="_Toc530090829"/>
      <w:bookmarkEnd w:id="427"/>
      <w:bookmarkStart w:id="428" w:name="_Toc530093713"/>
      <w:bookmarkEnd w:id="428"/>
      <w:bookmarkStart w:id="429" w:name="_Toc530090856"/>
      <w:bookmarkEnd w:id="429"/>
      <w:bookmarkStart w:id="430" w:name="_Toc530093651"/>
      <w:bookmarkEnd w:id="430"/>
      <w:bookmarkStart w:id="431" w:name="_Toc530093622"/>
      <w:bookmarkEnd w:id="431"/>
      <w:bookmarkStart w:id="432" w:name="_Toc530093470"/>
      <w:bookmarkEnd w:id="432"/>
      <w:bookmarkStart w:id="433" w:name="_Toc530090832"/>
      <w:bookmarkEnd w:id="433"/>
      <w:bookmarkStart w:id="434" w:name="_Toc530093394"/>
      <w:bookmarkEnd w:id="434"/>
      <w:bookmarkStart w:id="435" w:name="_Toc530090839"/>
      <w:bookmarkEnd w:id="435"/>
      <w:bookmarkStart w:id="436" w:name="_Toc530090827"/>
      <w:bookmarkEnd w:id="436"/>
      <w:bookmarkStart w:id="437" w:name="_Toc530093634"/>
      <w:bookmarkEnd w:id="437"/>
      <w:bookmarkStart w:id="438" w:name="_Toc530090842"/>
      <w:bookmarkEnd w:id="438"/>
      <w:bookmarkStart w:id="439" w:name="_Toc530093639"/>
      <w:bookmarkEnd w:id="439"/>
      <w:bookmarkStart w:id="440" w:name="_Toc530093398"/>
      <w:bookmarkEnd w:id="440"/>
      <w:bookmarkStart w:id="441" w:name="_Toc530093456"/>
      <w:bookmarkEnd w:id="441"/>
      <w:bookmarkStart w:id="442" w:name="_Toc530093412"/>
      <w:bookmarkEnd w:id="442"/>
      <w:bookmarkStart w:id="443" w:name="_Toc530093723"/>
      <w:bookmarkEnd w:id="443"/>
      <w:bookmarkStart w:id="444" w:name="_Toc530093657"/>
      <w:bookmarkEnd w:id="444"/>
      <w:bookmarkStart w:id="445" w:name="_Toc530093655"/>
      <w:bookmarkEnd w:id="445"/>
      <w:bookmarkStart w:id="446" w:name="_Toc530093737"/>
      <w:bookmarkEnd w:id="446"/>
      <w:bookmarkStart w:id="447" w:name="_Toc530093498"/>
      <w:bookmarkEnd w:id="447"/>
      <w:bookmarkStart w:id="448" w:name="_Toc530093409"/>
      <w:bookmarkEnd w:id="448"/>
      <w:bookmarkStart w:id="449" w:name="_Toc530093733"/>
      <w:bookmarkEnd w:id="449"/>
      <w:bookmarkStart w:id="450" w:name="_Toc530090862"/>
      <w:bookmarkEnd w:id="450"/>
      <w:bookmarkStart w:id="451" w:name="_Toc530093739"/>
      <w:bookmarkEnd w:id="451"/>
      <w:bookmarkStart w:id="452" w:name="_Toc530093734"/>
      <w:bookmarkEnd w:id="452"/>
      <w:bookmarkStart w:id="453" w:name="_Toc530093492"/>
      <w:bookmarkEnd w:id="453"/>
      <w:bookmarkStart w:id="454" w:name="_Toc530093642"/>
      <w:bookmarkEnd w:id="454"/>
      <w:bookmarkStart w:id="455" w:name="_Toc530093488"/>
      <w:bookmarkEnd w:id="455"/>
      <w:bookmarkStart w:id="456" w:name="_Toc530093650"/>
      <w:bookmarkEnd w:id="456"/>
      <w:bookmarkStart w:id="457" w:name="_Toc530093702"/>
      <w:bookmarkEnd w:id="457"/>
      <w:bookmarkStart w:id="458" w:name="_Toc530090865"/>
      <w:bookmarkEnd w:id="458"/>
      <w:bookmarkStart w:id="459" w:name="_Toc530093725"/>
      <w:bookmarkEnd w:id="459"/>
      <w:bookmarkStart w:id="460" w:name="_Toc530093415"/>
      <w:bookmarkEnd w:id="460"/>
      <w:bookmarkStart w:id="461" w:name="_Toc530093494"/>
      <w:bookmarkEnd w:id="461"/>
      <w:bookmarkStart w:id="462" w:name="_Toc530093385"/>
      <w:bookmarkEnd w:id="462"/>
      <w:bookmarkStart w:id="463" w:name="_Toc530093630"/>
      <w:bookmarkEnd w:id="463"/>
      <w:bookmarkStart w:id="464" w:name="_Toc530093658"/>
      <w:bookmarkEnd w:id="464"/>
      <w:bookmarkStart w:id="465" w:name="_Toc530093491"/>
      <w:bookmarkEnd w:id="465"/>
      <w:bookmarkStart w:id="466" w:name="_Toc530090852"/>
      <w:bookmarkEnd w:id="466"/>
      <w:bookmarkStart w:id="467" w:name="_Toc530090864"/>
      <w:bookmarkEnd w:id="467"/>
      <w:bookmarkStart w:id="468" w:name="_Toc530093495"/>
      <w:bookmarkEnd w:id="468"/>
      <w:bookmarkStart w:id="469" w:name="_Toc530093493"/>
      <w:bookmarkEnd w:id="469"/>
      <w:bookmarkStart w:id="470" w:name="_Toc530093413"/>
      <w:bookmarkEnd w:id="470"/>
      <w:bookmarkStart w:id="471" w:name="_Toc530090863"/>
      <w:bookmarkEnd w:id="471"/>
      <w:bookmarkStart w:id="472" w:name="_Toc530093481"/>
      <w:bookmarkEnd w:id="472"/>
      <w:bookmarkStart w:id="473" w:name="_Toc530093738"/>
      <w:bookmarkEnd w:id="473"/>
      <w:bookmarkStart w:id="474" w:name="_Toc530090861"/>
      <w:bookmarkEnd w:id="474"/>
      <w:bookmarkStart w:id="475" w:name="_Toc530090833"/>
      <w:bookmarkEnd w:id="475"/>
      <w:bookmarkStart w:id="476" w:name="_Toc530090830"/>
      <w:bookmarkEnd w:id="476"/>
      <w:bookmarkStart w:id="477" w:name="_Toc530093620"/>
      <w:bookmarkEnd w:id="477"/>
      <w:bookmarkStart w:id="478" w:name="_Toc530093660"/>
      <w:bookmarkEnd w:id="478"/>
      <w:bookmarkStart w:id="479" w:name="_Toc530093414"/>
      <w:bookmarkEnd w:id="479"/>
      <w:bookmarkStart w:id="480" w:name="_Toc530090845"/>
      <w:bookmarkEnd w:id="480"/>
      <w:bookmarkStart w:id="481" w:name="_Toc530093463"/>
      <w:bookmarkEnd w:id="481"/>
      <w:bookmarkStart w:id="482" w:name="_Toc530093497"/>
      <w:bookmarkEnd w:id="482"/>
      <w:bookmarkStart w:id="483" w:name="_Toc530093631"/>
      <w:bookmarkEnd w:id="483"/>
      <w:bookmarkStart w:id="484" w:name="_Toc530093496"/>
      <w:bookmarkEnd w:id="484"/>
      <w:bookmarkStart w:id="485" w:name="_Toc530093659"/>
      <w:bookmarkEnd w:id="485"/>
      <w:bookmarkStart w:id="486" w:name="_Toc530093709"/>
      <w:bookmarkEnd w:id="486"/>
      <w:bookmarkStart w:id="487" w:name="_Toc530090859"/>
      <w:bookmarkEnd w:id="487"/>
      <w:bookmarkStart w:id="488" w:name="_Toc530093389"/>
      <w:bookmarkEnd w:id="488"/>
      <w:bookmarkStart w:id="489" w:name="_Toc530093649"/>
      <w:bookmarkEnd w:id="489"/>
      <w:bookmarkStart w:id="490" w:name="_Toc530093406"/>
      <w:bookmarkEnd w:id="490"/>
      <w:bookmarkStart w:id="491" w:name="_Toc530093399"/>
      <w:bookmarkEnd w:id="491"/>
      <w:bookmarkStart w:id="492" w:name="_Toc530093408"/>
      <w:bookmarkEnd w:id="492"/>
      <w:bookmarkStart w:id="493" w:name="_Toc530093483"/>
      <w:bookmarkEnd w:id="493"/>
      <w:bookmarkStart w:id="494" w:name="_Toc530093706"/>
      <w:bookmarkEnd w:id="494"/>
      <w:bookmarkStart w:id="495" w:name="_Toc530090849"/>
      <w:bookmarkEnd w:id="495"/>
      <w:bookmarkStart w:id="496" w:name="_Toc530093703"/>
      <w:bookmarkEnd w:id="496"/>
      <w:bookmarkStart w:id="497" w:name="_Toc530093393"/>
      <w:bookmarkEnd w:id="497"/>
      <w:bookmarkStart w:id="498" w:name="_Toc530093711"/>
      <w:bookmarkEnd w:id="498"/>
      <w:bookmarkStart w:id="499" w:name="_Toc530093712"/>
      <w:bookmarkEnd w:id="499"/>
      <w:bookmarkStart w:id="500" w:name="_Toc530093722"/>
      <w:bookmarkEnd w:id="500"/>
      <w:bookmarkStart w:id="501" w:name="_Toc530093626"/>
      <w:bookmarkEnd w:id="501"/>
      <w:bookmarkStart w:id="502" w:name="_Toc530093474"/>
      <w:bookmarkEnd w:id="502"/>
      <w:bookmarkStart w:id="503" w:name="_Toc530093705"/>
      <w:bookmarkEnd w:id="503"/>
      <w:bookmarkStart w:id="504" w:name="_Toc530093388"/>
      <w:bookmarkEnd w:id="504"/>
      <w:bookmarkStart w:id="505" w:name="_Toc530093487"/>
      <w:bookmarkEnd w:id="505"/>
      <w:bookmarkStart w:id="506" w:name="_Toc530093379"/>
      <w:bookmarkEnd w:id="506"/>
      <w:bookmarkStart w:id="507" w:name="_Toc530093647"/>
      <w:bookmarkEnd w:id="507"/>
      <w:bookmarkStart w:id="508" w:name="_Toc530093485"/>
      <w:bookmarkEnd w:id="508"/>
      <w:bookmarkStart w:id="509" w:name="_Toc530093730"/>
      <w:bookmarkEnd w:id="509"/>
      <w:bookmarkStart w:id="510" w:name="_Toc530093417"/>
      <w:bookmarkEnd w:id="510"/>
      <w:bookmarkStart w:id="511" w:name="_Toc530093401"/>
      <w:bookmarkEnd w:id="511"/>
      <w:bookmarkStart w:id="512" w:name="_Toc530090838"/>
      <w:bookmarkEnd w:id="512"/>
      <w:bookmarkStart w:id="513" w:name="_Toc530093490"/>
      <w:bookmarkEnd w:id="513"/>
      <w:bookmarkStart w:id="514" w:name="_Toc530093377"/>
      <w:bookmarkEnd w:id="514"/>
      <w:bookmarkStart w:id="515" w:name="_Toc530093628"/>
      <w:bookmarkEnd w:id="515"/>
      <w:bookmarkStart w:id="516" w:name="_Toc530090841"/>
      <w:bookmarkEnd w:id="516"/>
      <w:bookmarkStart w:id="517" w:name="_Toc530093405"/>
      <w:bookmarkEnd w:id="517"/>
      <w:bookmarkStart w:id="518" w:name="_Toc530093489"/>
      <w:bookmarkEnd w:id="518"/>
      <w:bookmarkStart w:id="519" w:name="_Toc530093466"/>
      <w:bookmarkEnd w:id="519"/>
      <w:bookmarkStart w:id="520" w:name="_Toc530093472"/>
      <w:bookmarkEnd w:id="520"/>
      <w:bookmarkStart w:id="521" w:name="_Toc530093404"/>
      <w:bookmarkEnd w:id="521"/>
      <w:bookmarkStart w:id="522" w:name="_Toc530093465"/>
      <w:bookmarkEnd w:id="522"/>
      <w:bookmarkStart w:id="523" w:name="_Toc530093652"/>
      <w:bookmarkEnd w:id="523"/>
      <w:bookmarkStart w:id="524" w:name="_Toc530093721"/>
      <w:bookmarkEnd w:id="524"/>
      <w:bookmarkStart w:id="525" w:name="_Toc530093735"/>
      <w:bookmarkEnd w:id="525"/>
      <w:bookmarkStart w:id="526" w:name="_Toc530093653"/>
      <w:bookmarkEnd w:id="526"/>
      <w:bookmarkStart w:id="527" w:name="_Toc530090854"/>
      <w:bookmarkEnd w:id="527"/>
      <w:bookmarkStart w:id="528" w:name="_Toc530093468"/>
      <w:bookmarkEnd w:id="528"/>
      <w:bookmarkStart w:id="529" w:name="_Toc530093654"/>
      <w:bookmarkEnd w:id="529"/>
      <w:bookmarkStart w:id="530" w:name="_Toc530093736"/>
      <w:bookmarkEnd w:id="530"/>
      <w:bookmarkStart w:id="531" w:name="_Toc530093743"/>
      <w:bookmarkEnd w:id="531"/>
      <w:bookmarkStart w:id="532" w:name="_Toc530093391"/>
      <w:bookmarkEnd w:id="532"/>
      <w:bookmarkStart w:id="533" w:name="_Toc530093729"/>
      <w:bookmarkEnd w:id="533"/>
      <w:bookmarkStart w:id="534" w:name="_Toc530093636"/>
      <w:bookmarkEnd w:id="534"/>
      <w:bookmarkStart w:id="535" w:name="_Toc530093499"/>
      <w:bookmarkEnd w:id="535"/>
      <w:bookmarkStart w:id="536" w:name="_Toc530093459"/>
      <w:bookmarkEnd w:id="536"/>
      <w:bookmarkStart w:id="537" w:name="_Toc530093479"/>
      <w:bookmarkEnd w:id="537"/>
      <w:bookmarkStart w:id="538" w:name="_Toc530093380"/>
      <w:bookmarkEnd w:id="538"/>
      <w:bookmarkStart w:id="539" w:name="_Toc530090868"/>
      <w:bookmarkEnd w:id="539"/>
      <w:bookmarkStart w:id="540" w:name="_Toc530093467"/>
      <w:bookmarkEnd w:id="540"/>
      <w:bookmarkStart w:id="541" w:name="_Toc530093462"/>
      <w:bookmarkEnd w:id="541"/>
      <w:bookmarkStart w:id="542" w:name="_Toc530093461"/>
      <w:bookmarkEnd w:id="542"/>
      <w:bookmarkStart w:id="543" w:name="_Toc530093644"/>
      <w:bookmarkEnd w:id="543"/>
      <w:bookmarkStart w:id="544" w:name="_Toc530093704"/>
      <w:bookmarkEnd w:id="544"/>
      <w:bookmarkStart w:id="545" w:name="_Toc530093390"/>
      <w:bookmarkEnd w:id="545"/>
      <w:bookmarkStart w:id="546" w:name="_Toc530090851"/>
      <w:bookmarkEnd w:id="546"/>
      <w:bookmarkStart w:id="547" w:name="_Toc530093477"/>
      <w:bookmarkEnd w:id="547"/>
      <w:bookmarkStart w:id="548" w:name="_Toc530090853"/>
      <w:bookmarkEnd w:id="548"/>
      <w:bookmarkStart w:id="549" w:name="_Toc530093383"/>
      <w:bookmarkEnd w:id="549"/>
      <w:bookmarkStart w:id="550" w:name="_Toc530093661"/>
      <w:bookmarkEnd w:id="550"/>
      <w:bookmarkStart w:id="551" w:name="_Toc530093381"/>
      <w:bookmarkEnd w:id="551"/>
      <w:bookmarkStart w:id="552" w:name="_Toc530090825"/>
      <w:bookmarkEnd w:id="552"/>
      <w:bookmarkStart w:id="553" w:name="_Toc530090850"/>
      <w:bookmarkEnd w:id="553"/>
      <w:bookmarkStart w:id="554" w:name="_Toc530093727"/>
      <w:bookmarkEnd w:id="554"/>
      <w:bookmarkStart w:id="555" w:name="_Toc530093633"/>
      <w:bookmarkEnd w:id="555"/>
      <w:bookmarkStart w:id="556" w:name="_Toc530093484"/>
      <w:bookmarkEnd w:id="556"/>
      <w:bookmarkStart w:id="557" w:name="_Toc530093632"/>
      <w:bookmarkEnd w:id="557"/>
      <w:bookmarkStart w:id="558" w:name="_Toc530093731"/>
      <w:bookmarkEnd w:id="558"/>
      <w:bookmarkStart w:id="559" w:name="_Toc530093707"/>
      <w:bookmarkEnd w:id="559"/>
      <w:bookmarkStart w:id="560" w:name="_Toc530090828"/>
      <w:bookmarkEnd w:id="560"/>
      <w:bookmarkStart w:id="561" w:name="_Toc530093407"/>
      <w:bookmarkEnd w:id="561"/>
      <w:bookmarkStart w:id="562" w:name="_Toc530093745"/>
      <w:bookmarkEnd w:id="562"/>
      <w:bookmarkStart w:id="563" w:name="_Toc530093717"/>
      <w:bookmarkEnd w:id="563"/>
      <w:bookmarkStart w:id="564" w:name="_Toc530093458"/>
      <w:bookmarkEnd w:id="564"/>
      <w:bookmarkStart w:id="565" w:name="_Toc530093643"/>
      <w:bookmarkEnd w:id="565"/>
      <w:bookmarkStart w:id="566" w:name="_Toc530093478"/>
      <w:bookmarkEnd w:id="566"/>
      <w:bookmarkStart w:id="567" w:name="_Toc530090826"/>
      <w:bookmarkEnd w:id="567"/>
      <w:bookmarkStart w:id="568" w:name="_Toc530093741"/>
      <w:bookmarkEnd w:id="568"/>
      <w:bookmarkStart w:id="569" w:name="_Toc530093475"/>
      <w:bookmarkEnd w:id="569"/>
      <w:bookmarkStart w:id="570" w:name="_Toc530093460"/>
      <w:bookmarkEnd w:id="570"/>
      <w:bookmarkStart w:id="571" w:name="_Toc530093637"/>
      <w:bookmarkEnd w:id="571"/>
      <w:bookmarkStart w:id="572" w:name="_Toc530090848"/>
      <w:bookmarkEnd w:id="572"/>
      <w:bookmarkStart w:id="573" w:name="_Toc530093480"/>
      <w:bookmarkEnd w:id="573"/>
      <w:bookmarkStart w:id="574" w:name="_Toc530093716"/>
      <w:bookmarkEnd w:id="574"/>
      <w:bookmarkStart w:id="575" w:name="_Toc530093396"/>
      <w:bookmarkEnd w:id="575"/>
      <w:bookmarkStart w:id="576" w:name="_Toc530090836"/>
      <w:bookmarkEnd w:id="576"/>
      <w:bookmarkStart w:id="577" w:name="_Toc530093482"/>
      <w:bookmarkEnd w:id="577"/>
      <w:bookmarkStart w:id="578" w:name="_Toc530093386"/>
      <w:bookmarkEnd w:id="578"/>
      <w:bookmarkStart w:id="579" w:name="_Toc530093718"/>
      <w:bookmarkEnd w:id="579"/>
      <w:bookmarkStart w:id="580" w:name="_Toc530093392"/>
      <w:bookmarkEnd w:id="580"/>
      <w:bookmarkStart w:id="581" w:name="_Toc530090847"/>
      <w:bookmarkEnd w:id="581"/>
      <w:bookmarkStart w:id="582" w:name="_Toc530093403"/>
      <w:bookmarkEnd w:id="582"/>
      <w:bookmarkStart w:id="583" w:name="_Toc530093635"/>
      <w:bookmarkEnd w:id="583"/>
      <w:bookmarkStart w:id="584" w:name="_Toc530093473"/>
      <w:bookmarkEnd w:id="584"/>
      <w:bookmarkStart w:id="585" w:name="_Toc530093724"/>
      <w:bookmarkEnd w:id="585"/>
      <w:bookmarkStart w:id="586" w:name="_Toc530093645"/>
      <w:bookmarkEnd w:id="586"/>
      <w:bookmarkStart w:id="587" w:name="_Toc530090846"/>
      <w:bookmarkEnd w:id="587"/>
      <w:bookmarkStart w:id="588" w:name="_Toc530090840"/>
      <w:bookmarkEnd w:id="588"/>
      <w:bookmarkStart w:id="589" w:name="_Toc530093382"/>
      <w:bookmarkEnd w:id="589"/>
      <w:bookmarkStart w:id="590" w:name="_Toc530093387"/>
      <w:bookmarkEnd w:id="590"/>
      <w:bookmarkStart w:id="591" w:name="_Toc530093476"/>
      <w:bookmarkEnd w:id="591"/>
      <w:bookmarkStart w:id="592" w:name="_Toc31443"/>
      <w:r>
        <w:rPr>
          <w:rFonts w:hint="eastAsia"/>
        </w:rPr>
        <w:t>关联交易</w:t>
      </w:r>
      <w:bookmarkEnd w:id="592"/>
    </w:p>
    <w:p>
      <w:pPr>
        <w:pStyle w:val="34"/>
        <w:numPr>
          <w:ilvl w:val="0"/>
          <w:numId w:val="33"/>
        </w:numPr>
        <w:spacing w:line="560" w:lineRule="exact"/>
        <w:ind w:left="0" w:firstLine="640"/>
        <w:rPr>
          <w:rFonts w:ascii="仿宋_GB2312" w:hAnsi="宋体"/>
          <w:sz w:val="32"/>
          <w:szCs w:val="32"/>
        </w:rPr>
      </w:pPr>
      <w:r>
        <w:rPr>
          <w:rFonts w:hint="eastAsia" w:ascii="仿宋_GB2312" w:hAnsi="宋体"/>
          <w:sz w:val="32"/>
          <w:szCs w:val="32"/>
        </w:rPr>
        <w:t>上市公司发生关联交易，应当保证关联交易的合法性、必要性、合理性和公允性，保持上市公司的独立性，不得利用关联交易调节财务指标，损害上市公司利益。</w:t>
      </w:r>
    </w:p>
    <w:p>
      <w:pPr>
        <w:pStyle w:val="34"/>
        <w:numPr>
          <w:ilvl w:val="0"/>
          <w:numId w:val="33"/>
        </w:numPr>
        <w:spacing w:line="560" w:lineRule="exact"/>
        <w:ind w:left="0" w:firstLine="640"/>
        <w:rPr>
          <w:rFonts w:ascii="仿宋_GB2312" w:hAnsi="宋体"/>
          <w:sz w:val="32"/>
          <w:szCs w:val="32"/>
        </w:rPr>
      </w:pPr>
      <w:r>
        <w:rPr>
          <w:rFonts w:hint="eastAsia" w:ascii="仿宋_GB2312" w:hAnsi="黑体"/>
          <w:sz w:val="32"/>
          <w:szCs w:val="32"/>
        </w:rPr>
        <w:t>本章所称“关联交易”，是指上市公司或者其合并报表范围内的子公司等其他主体与上市公司关联人之间发生的交易，包括第7.1.1条规定的交易和日常经营范围内发生的可能引致资源或者义务转移的事项。</w:t>
      </w:r>
    </w:p>
    <w:p>
      <w:pPr>
        <w:pStyle w:val="34"/>
        <w:numPr>
          <w:ilvl w:val="0"/>
          <w:numId w:val="33"/>
        </w:numPr>
        <w:spacing w:line="560" w:lineRule="exact"/>
        <w:ind w:left="0" w:firstLine="640"/>
        <w:rPr>
          <w:rFonts w:ascii="仿宋_GB2312" w:hAnsi="宋体"/>
          <w:sz w:val="32"/>
          <w:szCs w:val="32"/>
        </w:rPr>
      </w:pPr>
      <w:r>
        <w:rPr>
          <w:rFonts w:hint="eastAsia" w:ascii="仿宋_GB2312" w:hAnsi="宋体"/>
          <w:sz w:val="32"/>
          <w:szCs w:val="32"/>
        </w:rPr>
        <w:t>上市公司与关联人发生的交易（提供担保除外）达到下列标准之一的，应当及时披露：</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（一）与关联自然人发生的成交金额在30万元以上的交易；</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（二）与关联法人发生的成交金额占上市公司最近一期经审计总资产或市值0.1%以上的交易，且超过300万元。</w:t>
      </w:r>
    </w:p>
    <w:p>
      <w:pPr>
        <w:pStyle w:val="34"/>
        <w:numPr>
          <w:ilvl w:val="0"/>
          <w:numId w:val="33"/>
        </w:numPr>
        <w:spacing w:line="560" w:lineRule="exact"/>
        <w:ind w:left="0" w:firstLine="640"/>
        <w:rPr>
          <w:rFonts w:ascii="仿宋_GB2312" w:hAnsi="宋体"/>
          <w:sz w:val="32"/>
          <w:szCs w:val="32"/>
        </w:rPr>
      </w:pPr>
      <w:r>
        <w:rPr>
          <w:rFonts w:hint="eastAsia" w:ascii="仿宋_GB2312" w:hAnsi="宋体"/>
          <w:sz w:val="32"/>
          <w:szCs w:val="32"/>
        </w:rPr>
        <w:t>上市公司与关联人发生的交易金额（提供担保除外）占上市公司最近一期经审计总资产或市值</w:t>
      </w:r>
      <w:r>
        <w:rPr>
          <w:rFonts w:ascii="仿宋_GB2312" w:hAnsi="宋体"/>
          <w:sz w:val="32"/>
          <w:szCs w:val="32"/>
        </w:rPr>
        <w:t>1%</w:t>
      </w:r>
      <w:r>
        <w:rPr>
          <w:rFonts w:hint="eastAsia" w:ascii="仿宋_GB2312" w:hAnsi="宋体"/>
          <w:sz w:val="32"/>
          <w:szCs w:val="32"/>
        </w:rPr>
        <w:t>以上的交易，且超过3000万元，应当比照第7</w:t>
      </w:r>
      <w:r>
        <w:rPr>
          <w:rFonts w:ascii="仿宋_GB2312" w:hAnsi="宋体"/>
          <w:sz w:val="32"/>
          <w:szCs w:val="32"/>
        </w:rPr>
        <w:t>.</w:t>
      </w:r>
      <w:r>
        <w:rPr>
          <w:rFonts w:hint="eastAsia" w:ascii="仿宋_GB2312" w:hAnsi="宋体"/>
          <w:sz w:val="32"/>
          <w:szCs w:val="32"/>
        </w:rPr>
        <w:t>1.9条的规定，提供评估报告或审计报告，并提交股东大会审议。</w:t>
      </w:r>
    </w:p>
    <w:p>
      <w:pPr>
        <w:pStyle w:val="34"/>
        <w:spacing w:line="560" w:lineRule="exact"/>
        <w:ind w:firstLine="640"/>
        <w:rPr>
          <w:rFonts w:ascii="仿宋_GB2312" w:hAnsi="宋体"/>
          <w:sz w:val="32"/>
          <w:szCs w:val="32"/>
        </w:rPr>
      </w:pPr>
      <w:r>
        <w:rPr>
          <w:rFonts w:hint="eastAsia" w:ascii="仿宋_GB2312" w:hAnsi="宋体"/>
          <w:sz w:val="32"/>
          <w:szCs w:val="32"/>
        </w:rPr>
        <w:t>与日常经营相关的关联交易可免于审计或者评估。</w:t>
      </w:r>
    </w:p>
    <w:p>
      <w:pPr>
        <w:pStyle w:val="34"/>
        <w:numPr>
          <w:ilvl w:val="0"/>
          <w:numId w:val="33"/>
        </w:numPr>
        <w:spacing w:line="560" w:lineRule="exact"/>
        <w:ind w:left="0" w:firstLine="640"/>
        <w:rPr>
          <w:rFonts w:ascii="仿宋_GB2312" w:hAnsi="宋体"/>
          <w:sz w:val="32"/>
          <w:szCs w:val="32"/>
        </w:rPr>
      </w:pPr>
      <w:r>
        <w:rPr>
          <w:rFonts w:hint="eastAsia" w:ascii="仿宋_GB2312" w:hAnsi="宋体"/>
          <w:sz w:val="32"/>
          <w:szCs w:val="32"/>
        </w:rPr>
        <w:t>上市公司为关联人提供担保的，应当具备合理的商业逻辑，在董事会审议通过后及时披露，并提交股东大会审议。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上市公司为控股股东、实际控制人及其关联方提供担保的，控股股东、实际控制人及其关联方应当提供反担保。</w:t>
      </w:r>
    </w:p>
    <w:p>
      <w:pPr>
        <w:pStyle w:val="34"/>
        <w:numPr>
          <w:ilvl w:val="0"/>
          <w:numId w:val="33"/>
        </w:numPr>
        <w:spacing w:line="560" w:lineRule="exact"/>
        <w:ind w:left="0" w:firstLine="640"/>
        <w:rPr>
          <w:rFonts w:ascii="仿宋_GB2312" w:hAnsi="宋体"/>
          <w:kern w:val="28"/>
          <w:sz w:val="32"/>
          <w:szCs w:val="32"/>
        </w:rPr>
      </w:pPr>
      <w:r>
        <w:rPr>
          <w:rFonts w:hint="eastAsia" w:ascii="仿宋_GB2312" w:hAnsi="宋体"/>
          <w:kern w:val="28"/>
          <w:sz w:val="32"/>
          <w:szCs w:val="32"/>
        </w:rPr>
        <w:t>上市公司应当审慎向关联方提供财务资助或委托理财；确有必要的，</w:t>
      </w:r>
      <w:r>
        <w:rPr>
          <w:rFonts w:hint="eastAsia" w:ascii="仿宋_GB2312" w:hAnsi="宋体"/>
          <w:sz w:val="32"/>
          <w:szCs w:val="32"/>
        </w:rPr>
        <w:t>应当以发生额作为披露的计算标准，在连续12个月内累计计算，适用第7.2.3条或者第7.2.4条</w:t>
      </w:r>
      <w:r>
        <w:rPr>
          <w:rFonts w:hint="eastAsia" w:ascii="仿宋_GB2312" w:hAnsi="宋体"/>
          <w:kern w:val="28"/>
          <w:sz w:val="32"/>
          <w:szCs w:val="32"/>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已经按照第7.2.3条或者第7.2.4条履行相关义务的，不再纳入相关的累计计算范围。</w:t>
      </w:r>
    </w:p>
    <w:p>
      <w:pPr>
        <w:pStyle w:val="34"/>
        <w:numPr>
          <w:ilvl w:val="0"/>
          <w:numId w:val="33"/>
        </w:numPr>
        <w:spacing w:line="560" w:lineRule="exact"/>
        <w:ind w:left="0" w:firstLine="640"/>
        <w:rPr>
          <w:rFonts w:ascii="仿宋_GB2312" w:hAnsi="宋体"/>
          <w:sz w:val="32"/>
          <w:szCs w:val="32"/>
        </w:rPr>
      </w:pPr>
      <w:r>
        <w:rPr>
          <w:rFonts w:hint="eastAsia" w:ascii="仿宋_GB2312" w:hAnsi="宋体"/>
          <w:kern w:val="28"/>
          <w:sz w:val="32"/>
          <w:szCs w:val="32"/>
        </w:rPr>
        <w:t>上市公司应当对下列交易，按照</w:t>
      </w:r>
      <w:r>
        <w:rPr>
          <w:rFonts w:hint="eastAsia" w:ascii="仿宋_GB2312" w:hAnsi="宋体"/>
          <w:sz w:val="32"/>
          <w:szCs w:val="32"/>
        </w:rPr>
        <w:t>连续12个月内累计计算的原则，分别适用第7.2.3条和第7.2.4条：</w:t>
      </w:r>
    </w:p>
    <w:p>
      <w:pPr>
        <w:tabs>
          <w:tab w:val="left" w:pos="1260"/>
        </w:tabs>
        <w:spacing w:line="560" w:lineRule="exact"/>
        <w:ind w:firstLine="640" w:firstLineChars="200"/>
        <w:rPr>
          <w:rFonts w:ascii="仿宋_GB2312" w:eastAsia="仿宋_GB2312"/>
          <w:sz w:val="32"/>
          <w:szCs w:val="32"/>
        </w:rPr>
      </w:pPr>
      <w:r>
        <w:rPr>
          <w:rFonts w:hint="eastAsia" w:ascii="仿宋_GB2312" w:eastAsia="仿宋_GB2312"/>
          <w:sz w:val="32"/>
          <w:szCs w:val="32"/>
        </w:rPr>
        <w:t>（一）与同一关联人进行的交易；</w:t>
      </w:r>
    </w:p>
    <w:p>
      <w:pPr>
        <w:tabs>
          <w:tab w:val="left" w:pos="1260"/>
        </w:tabs>
        <w:spacing w:line="560" w:lineRule="exact"/>
        <w:ind w:firstLine="640" w:firstLineChars="200"/>
        <w:rPr>
          <w:rFonts w:ascii="仿宋_GB2312" w:eastAsia="仿宋_GB2312"/>
          <w:kern w:val="28"/>
          <w:sz w:val="32"/>
          <w:szCs w:val="32"/>
          <w:shd w:val="pct10" w:color="auto" w:fill="FFFFFF"/>
        </w:rPr>
      </w:pPr>
      <w:r>
        <w:rPr>
          <w:rFonts w:hint="eastAsia" w:ascii="仿宋_GB2312" w:eastAsia="仿宋_GB2312"/>
          <w:sz w:val="32"/>
          <w:szCs w:val="32"/>
        </w:rPr>
        <w:t>（二）与不同关联人进行交易标的类别相关的交易。</w:t>
      </w:r>
    </w:p>
    <w:p>
      <w:pPr>
        <w:spacing w:line="560" w:lineRule="exact"/>
        <w:ind w:firstLine="640" w:firstLineChars="200"/>
        <w:rPr>
          <w:rFonts w:ascii="仿宋_GB2312" w:hAnsi="宋体" w:eastAsia="仿宋_GB2312"/>
          <w:kern w:val="28"/>
          <w:sz w:val="32"/>
          <w:szCs w:val="32"/>
        </w:rPr>
      </w:pPr>
      <w:r>
        <w:rPr>
          <w:rFonts w:hint="eastAsia" w:ascii="仿宋_GB2312" w:eastAsia="仿宋_GB2312"/>
          <w:kern w:val="28"/>
          <w:sz w:val="32"/>
          <w:szCs w:val="32"/>
        </w:rPr>
        <w:t>上述同一关联人，包括与该</w:t>
      </w:r>
      <w:r>
        <w:rPr>
          <w:rFonts w:hint="eastAsia" w:ascii="仿宋_GB2312" w:eastAsia="仿宋_GB2312"/>
          <w:sz w:val="32"/>
          <w:szCs w:val="32"/>
        </w:rPr>
        <w:t>关联人</w:t>
      </w:r>
      <w:r>
        <w:rPr>
          <w:rFonts w:hint="eastAsia" w:ascii="仿宋_GB2312" w:hAnsi="宋体" w:eastAsia="仿宋_GB2312"/>
          <w:kern w:val="28"/>
          <w:sz w:val="32"/>
          <w:szCs w:val="32"/>
        </w:rPr>
        <w:t>受同一实际控制人控制，或者</w:t>
      </w:r>
      <w:r>
        <w:rPr>
          <w:rFonts w:hint="eastAsia" w:ascii="仿宋_GB2312" w:eastAsia="仿宋_GB2312"/>
          <w:sz w:val="32"/>
          <w:szCs w:val="32"/>
        </w:rPr>
        <w:t>存在股权控制关系</w:t>
      </w:r>
      <w:r>
        <w:rPr>
          <w:rFonts w:hint="eastAsia" w:ascii="仿宋_GB2312" w:hAnsi="宋体" w:eastAsia="仿宋_GB2312"/>
          <w:kern w:val="28"/>
          <w:sz w:val="32"/>
          <w:szCs w:val="32"/>
        </w:rPr>
        <w:t>，或者由同一自然人担任董事或高级管理人员的</w:t>
      </w:r>
      <w:r>
        <w:rPr>
          <w:rFonts w:hint="eastAsia" w:ascii="仿宋_GB2312" w:eastAsia="仿宋_GB2312"/>
          <w:kern w:val="28"/>
          <w:sz w:val="32"/>
          <w:szCs w:val="32"/>
        </w:rPr>
        <w:t>法人或其他组织</w:t>
      </w:r>
      <w:r>
        <w:rPr>
          <w:rFonts w:hint="eastAsia" w:ascii="仿宋_GB2312" w:hAnsi="宋体" w:eastAsia="仿宋_GB2312"/>
          <w:kern w:val="28"/>
          <w:sz w:val="32"/>
          <w:szCs w:val="32"/>
        </w:rPr>
        <w:t>。</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已经按照本章规定履行相关义务的，不再纳入累计计算范围。</w:t>
      </w:r>
    </w:p>
    <w:p>
      <w:pPr>
        <w:pStyle w:val="34"/>
        <w:numPr>
          <w:ilvl w:val="0"/>
          <w:numId w:val="33"/>
        </w:numPr>
        <w:spacing w:line="560" w:lineRule="exact"/>
        <w:ind w:left="0" w:firstLine="640"/>
        <w:rPr>
          <w:rFonts w:ascii="仿宋_GB2312" w:hAnsi="宋体"/>
          <w:kern w:val="28"/>
          <w:sz w:val="32"/>
          <w:szCs w:val="32"/>
        </w:rPr>
      </w:pPr>
      <w:r>
        <w:rPr>
          <w:rFonts w:hint="eastAsia" w:ascii="仿宋_GB2312" w:hAnsi="宋体"/>
          <w:kern w:val="28"/>
          <w:sz w:val="32"/>
          <w:szCs w:val="32"/>
        </w:rPr>
        <w:t>上市公司与关联人进行日常关联交易时，按照下列规定披露和履行审议程序：</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（一）上市公司可以按类别合理预计日常关联交易年度金额，履行审议程序并披露；实际执行超出预计金额的，应当按照超出金额重新履行审议程序并披露；</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（二）上市公司年度报告和半年度报告应当分类汇总披露日常关联交易；</w:t>
      </w:r>
    </w:p>
    <w:p>
      <w:pPr>
        <w:spacing w:line="560" w:lineRule="exact"/>
        <w:ind w:firstLine="640" w:firstLineChars="200"/>
        <w:rPr>
          <w:rFonts w:ascii="仿宋_GB2312" w:eastAsia="仿宋_GB2312"/>
          <w:sz w:val="32"/>
          <w:szCs w:val="32"/>
        </w:rPr>
      </w:pPr>
      <w:r>
        <w:rPr>
          <w:rFonts w:hint="eastAsia" w:ascii="仿宋_GB2312" w:hAnsi="宋体" w:eastAsia="仿宋_GB2312"/>
          <w:kern w:val="28"/>
          <w:sz w:val="32"/>
          <w:szCs w:val="32"/>
        </w:rPr>
        <w:t>（三）上市公司与关联人签订的日常关联交易协议期限超过3年的，应当每3年重新履行相关审议程序和披露义务。</w:t>
      </w:r>
    </w:p>
    <w:p>
      <w:pPr>
        <w:pStyle w:val="34"/>
        <w:numPr>
          <w:ilvl w:val="0"/>
          <w:numId w:val="33"/>
        </w:numPr>
        <w:spacing w:line="560" w:lineRule="exact"/>
        <w:ind w:left="0" w:firstLine="640"/>
        <w:rPr>
          <w:rFonts w:ascii="仿宋_GB2312" w:hAnsi="宋体"/>
          <w:sz w:val="32"/>
          <w:szCs w:val="32"/>
        </w:rPr>
      </w:pPr>
      <w:r>
        <w:rPr>
          <w:rFonts w:hint="eastAsia" w:ascii="仿宋_GB2312" w:hAnsi="宋体"/>
          <w:sz w:val="32"/>
          <w:szCs w:val="32"/>
        </w:rPr>
        <w:t>上市公司达到披露标准的关联交易，应当经全体独立董事过半数同意后，提交董事会审议并及时披露。</w:t>
      </w:r>
    </w:p>
    <w:p>
      <w:pPr>
        <w:pStyle w:val="34"/>
        <w:numPr>
          <w:ilvl w:val="0"/>
          <w:numId w:val="33"/>
        </w:numPr>
        <w:spacing w:line="560" w:lineRule="exact"/>
        <w:ind w:left="0" w:firstLine="640"/>
        <w:rPr>
          <w:rFonts w:ascii="仿宋_GB2312" w:hAnsi="宋体"/>
          <w:sz w:val="32"/>
          <w:szCs w:val="32"/>
        </w:rPr>
      </w:pPr>
      <w:r>
        <w:rPr>
          <w:rFonts w:hint="eastAsia" w:ascii="仿宋_GB2312" w:hAnsi="宋体"/>
          <w:sz w:val="32"/>
          <w:szCs w:val="32"/>
        </w:rPr>
        <w:t>上市公司董事会审议关联交易事项的，关联董事应当回避表决，并不得代理其他董事行使表决权。</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董事会会议应当由过半数的非关联董事出席，所作决议须经非关联董事过半数通过。出席董事会会议的非关联董事人数不足3人的，公司应当将交易事项提交股东大会审议。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上市公司股东大会审议关联交易事项时，关联股东应当回避表决，并不得代理其他股东行使表决权。</w:t>
      </w:r>
    </w:p>
    <w:p>
      <w:pPr>
        <w:pStyle w:val="34"/>
        <w:numPr>
          <w:ilvl w:val="0"/>
          <w:numId w:val="33"/>
        </w:numPr>
        <w:spacing w:line="560" w:lineRule="exact"/>
        <w:ind w:left="0" w:firstLine="640"/>
        <w:rPr>
          <w:rFonts w:ascii="仿宋_GB2312" w:hAnsi="宋体"/>
          <w:sz w:val="32"/>
          <w:szCs w:val="32"/>
        </w:rPr>
      </w:pPr>
      <w:r>
        <w:rPr>
          <w:rFonts w:hint="eastAsia" w:ascii="仿宋_GB2312" w:hAnsi="宋体"/>
          <w:sz w:val="32"/>
          <w:szCs w:val="32"/>
        </w:rPr>
        <w:t>上市公司与关联人发生的下列交易，可以免予按照关联交易的方式审议和披露：</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（一）一方以现金方式认购另一方公开发行的股票、公司债券或企业债券、可转换公司债券或者其他衍生品种；</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（二）一方作为承销团成员承销另一方公开发行的股票、公司债券或企业债券、可转换公司债券或者其他衍生品种；</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（三）一方依据另一方股东大会决议领取股息、红利或者薪酬；</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（四）一方参与另一方公开招标或者拍卖，但是招标或者拍卖难以形成公允价格的除外；</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（五）上市公司单方面获得利益的交易，包括受赠现金资产、获得债务减免、接受担保和资助等；</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（六）关联交易定价为国家规定；</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（七）关联人向上市公司提供资金，利率水平不高于中国人民银行规定的同期贷款基准利率，且上市公司对该项财务资助无相应担保；</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（八）上市公司按与非关联人同等交易条件，向董事、监事、高级管理人员提供产品和服务；</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（九）本所认定的其他交易。</w:t>
      </w:r>
    </w:p>
    <w:p>
      <w:pPr>
        <w:pStyle w:val="34"/>
        <w:numPr>
          <w:ilvl w:val="0"/>
          <w:numId w:val="33"/>
        </w:numPr>
        <w:spacing w:line="560" w:lineRule="exact"/>
        <w:ind w:left="0" w:firstLine="640"/>
        <w:rPr>
          <w:rFonts w:ascii="仿宋_GB2312" w:hAnsi="宋体"/>
          <w:sz w:val="32"/>
          <w:szCs w:val="32"/>
        </w:rPr>
      </w:pPr>
      <w:r>
        <w:rPr>
          <w:rFonts w:hint="eastAsia" w:ascii="仿宋_GB2312" w:hAnsi="宋体"/>
          <w:sz w:val="32"/>
          <w:szCs w:val="32"/>
        </w:rPr>
        <w:t>本所可以根据实质重于形式的原则，将上市公司与相关方的交易认定为关联交易。上市公司应当按照第</w:t>
      </w:r>
      <w:r>
        <w:rPr>
          <w:rFonts w:ascii="仿宋_GB2312" w:hAnsi="宋体"/>
          <w:sz w:val="32"/>
          <w:szCs w:val="32"/>
        </w:rPr>
        <w:t>7.2.3</w:t>
      </w:r>
      <w:r>
        <w:rPr>
          <w:rFonts w:hint="eastAsia" w:ascii="仿宋_GB2312" w:hAnsi="宋体"/>
          <w:sz w:val="32"/>
          <w:szCs w:val="32"/>
        </w:rPr>
        <w:t>条或者第</w:t>
      </w:r>
      <w:r>
        <w:rPr>
          <w:rFonts w:ascii="仿宋_GB2312" w:hAnsi="宋体"/>
          <w:sz w:val="32"/>
          <w:szCs w:val="32"/>
        </w:rPr>
        <w:t>7.2.4</w:t>
      </w:r>
      <w:r>
        <w:rPr>
          <w:rFonts w:hint="eastAsia" w:ascii="仿宋_GB2312" w:hAnsi="宋体"/>
          <w:sz w:val="32"/>
          <w:szCs w:val="32"/>
        </w:rPr>
        <w:t>条的规定履行披露义务和审议程序。</w:t>
      </w:r>
    </w:p>
    <w:p>
      <w:pPr>
        <w:pStyle w:val="34"/>
        <w:numPr>
          <w:ilvl w:val="0"/>
          <w:numId w:val="33"/>
        </w:numPr>
        <w:spacing w:line="560" w:lineRule="exact"/>
        <w:ind w:left="0" w:firstLine="640"/>
        <w:rPr>
          <w:rFonts w:ascii="仿宋_GB2312" w:hAnsi="宋体"/>
          <w:sz w:val="32"/>
          <w:szCs w:val="32"/>
        </w:rPr>
      </w:pPr>
      <w:r>
        <w:rPr>
          <w:rFonts w:hint="eastAsia" w:ascii="仿宋_GB2312" w:hAnsi="宋体"/>
          <w:sz w:val="32"/>
          <w:szCs w:val="32"/>
        </w:rPr>
        <w:t>上市公司计算披露或审议关联交易的相关金额，本节没有规定的，适用本章第一节的规定。</w:t>
      </w:r>
    </w:p>
    <w:p>
      <w:pPr>
        <w:tabs>
          <w:tab w:val="left" w:pos="1560"/>
        </w:tabs>
        <w:snapToGrid w:val="0"/>
        <w:spacing w:line="560" w:lineRule="exact"/>
        <w:rPr>
          <w:rFonts w:ascii="仿宋_GB2312" w:eastAsia="仿宋_GB2312"/>
          <w:sz w:val="32"/>
          <w:szCs w:val="32"/>
        </w:rPr>
      </w:pPr>
    </w:p>
    <w:p>
      <w:pPr>
        <w:pStyle w:val="81"/>
        <w:rPr>
          <w:b/>
        </w:rPr>
      </w:pPr>
      <w:bookmarkStart w:id="593" w:name="_Toc21852"/>
      <w:r>
        <w:rPr>
          <w:rFonts w:hint="eastAsia"/>
        </w:rPr>
        <w:t>应当披露的行业信息和经营风险</w:t>
      </w:r>
      <w:bookmarkEnd w:id="593"/>
    </w:p>
    <w:p>
      <w:pPr>
        <w:pStyle w:val="36"/>
        <w:numPr>
          <w:ilvl w:val="1"/>
          <w:numId w:val="1"/>
        </w:numPr>
        <w:ind w:left="0" w:firstLine="643"/>
      </w:pPr>
      <w:bookmarkStart w:id="594" w:name="_Toc19480"/>
      <w:r>
        <w:rPr>
          <w:rFonts w:hint="eastAsia"/>
        </w:rPr>
        <w:t>行业信息</w:t>
      </w:r>
      <w:bookmarkEnd w:id="594"/>
    </w:p>
    <w:p>
      <w:pPr>
        <w:numPr>
          <w:ilvl w:val="2"/>
          <w:numId w:val="34"/>
        </w:numPr>
        <w:tabs>
          <w:tab w:val="left" w:pos="0"/>
          <w:tab w:val="left" w:pos="1418"/>
          <w:tab w:val="clear" w:pos="1107"/>
        </w:tabs>
        <w:autoSpaceDE w:val="0"/>
        <w:autoSpaceDN w:val="0"/>
        <w:adjustRightInd w:val="0"/>
        <w:snapToGrid w:val="0"/>
        <w:spacing w:line="560" w:lineRule="exact"/>
        <w:ind w:left="0" w:firstLine="640" w:firstLineChars="200"/>
        <w:rPr>
          <w:rFonts w:ascii="仿宋_GB2312" w:hAnsi="宋体" w:eastAsia="仿宋_GB2312" w:cs="宋体"/>
          <w:kern w:val="0"/>
          <w:sz w:val="32"/>
          <w:szCs w:val="32"/>
        </w:rPr>
      </w:pPr>
      <w:r>
        <w:rPr>
          <w:rFonts w:hint="eastAsia" w:eastAsia="仿宋_GB2312"/>
          <w:kern w:val="0"/>
          <w:sz w:val="32"/>
          <w:szCs w:val="32"/>
        </w:rPr>
        <w:t>上市公司应当主动披露对股票交易价格或者投资者决策有重大影响的行业信息</w:t>
      </w:r>
      <w:r>
        <w:rPr>
          <w:rFonts w:hint="eastAsia" w:ascii="仿宋_GB2312" w:hAnsi="宋体" w:eastAsia="仿宋_GB2312"/>
          <w:sz w:val="32"/>
          <w:szCs w:val="32"/>
        </w:rPr>
        <w:t>。</w:t>
      </w:r>
    </w:p>
    <w:p>
      <w:pPr>
        <w:pStyle w:val="34"/>
        <w:spacing w:line="560" w:lineRule="exact"/>
        <w:ind w:firstLine="640"/>
        <w:rPr>
          <w:sz w:val="32"/>
          <w:szCs w:val="32"/>
        </w:rPr>
      </w:pPr>
      <w:r>
        <w:rPr>
          <w:rFonts w:hint="eastAsia"/>
          <w:sz w:val="32"/>
          <w:szCs w:val="32"/>
        </w:rPr>
        <w:t>上市公司根据行业分类归属，参照适用本所制定的行业信息披露指引。</w:t>
      </w:r>
    </w:p>
    <w:p>
      <w:pPr>
        <w:numPr>
          <w:ilvl w:val="2"/>
          <w:numId w:val="34"/>
        </w:numPr>
        <w:tabs>
          <w:tab w:val="left" w:pos="0"/>
          <w:tab w:val="left" w:pos="1418"/>
          <w:tab w:val="clear" w:pos="1107"/>
        </w:tabs>
        <w:autoSpaceDE w:val="0"/>
        <w:autoSpaceDN w:val="0"/>
        <w:adjustRightInd w:val="0"/>
        <w:snapToGrid w:val="0"/>
        <w:spacing w:line="560" w:lineRule="exact"/>
        <w:ind w:left="0"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上市公司应当在年度报告中，结合其所属行业的政策环境和发展状况，披露下列行业信息： </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（一）所处行业的基本特点、主要技术门槛，报告期内新技术、新产业、新业态、新模式的发展情况和未来发展趋势；</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（二）核心竞争优势，核心经营团队和技术团队的竞争力分析，以及报告期内获得相关权利证书或者批准文件的核心技术储备；</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（三）当期研发支出金额及占销售收入的比例、研发支出的构成项目、费用化及资本化的金额及比重；</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（四）在研产品或项目的进展或阶段性成果；研发项目预计总投资规模、应用前景以及可能存在的重大风险；</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（五）其他有助于投资者决策的行业信息。</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上市公司可以在《企业会计准则》规定范围外，披露息税前利润、自由现金流等反映公司价值和行业核心竞争力的参考指标。</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本条第一款规定事项发生重大变化的，上市公司应当及时披露。</w:t>
      </w:r>
    </w:p>
    <w:p>
      <w:pPr>
        <w:numPr>
          <w:ilvl w:val="2"/>
          <w:numId w:val="34"/>
        </w:numPr>
        <w:tabs>
          <w:tab w:val="left" w:pos="0"/>
          <w:tab w:val="left" w:pos="1418"/>
          <w:tab w:val="clear" w:pos="1107"/>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上市公司开展与主营业务行业不同的新业务，或者</w:t>
      </w:r>
      <w:r>
        <w:rPr>
          <w:rFonts w:hint="eastAsia" w:ascii="仿宋_GB2312" w:hAnsi="宋体" w:eastAsia="仿宋_GB2312" w:cs="宋体"/>
          <w:kern w:val="0"/>
          <w:sz w:val="32"/>
          <w:szCs w:val="32"/>
        </w:rPr>
        <w:t>进行可能导致公司业务发生重大变化的收购或资产处置等交易</w:t>
      </w:r>
      <w:r>
        <w:rPr>
          <w:rFonts w:hint="eastAsia" w:ascii="仿宋_GB2312" w:hAnsi="宋体" w:eastAsia="仿宋_GB2312"/>
          <w:sz w:val="32"/>
          <w:szCs w:val="32"/>
        </w:rPr>
        <w:t>，应当及时披露下列信息：</w:t>
      </w:r>
    </w:p>
    <w:p>
      <w:pPr>
        <w:pStyle w:val="34"/>
        <w:numPr>
          <w:ilvl w:val="0"/>
          <w:numId w:val="35"/>
        </w:numPr>
        <w:tabs>
          <w:tab w:val="left" w:pos="1418"/>
        </w:tabs>
        <w:spacing w:line="560" w:lineRule="exact"/>
        <w:ind w:left="0" w:firstLine="640"/>
        <w:rPr>
          <w:rFonts w:ascii="仿宋_GB2312" w:hAnsi="宋体"/>
          <w:sz w:val="32"/>
          <w:szCs w:val="32"/>
        </w:rPr>
      </w:pPr>
      <w:r>
        <w:rPr>
          <w:rFonts w:hint="eastAsia" w:ascii="仿宋_GB2312" w:hAnsi="宋体"/>
          <w:sz w:val="32"/>
          <w:szCs w:val="32"/>
        </w:rPr>
        <w:t>原因及合理性，包括现有业务基本情况及重大风险，新业务与上市公司主营业务是否具备协同性等；</w:t>
      </w:r>
    </w:p>
    <w:p>
      <w:pPr>
        <w:pStyle w:val="34"/>
        <w:numPr>
          <w:ilvl w:val="0"/>
          <w:numId w:val="35"/>
        </w:numPr>
        <w:tabs>
          <w:tab w:val="left" w:pos="1418"/>
        </w:tabs>
        <w:spacing w:line="560" w:lineRule="exact"/>
        <w:ind w:left="0" w:firstLine="640"/>
        <w:rPr>
          <w:rFonts w:ascii="仿宋_GB2312" w:hAnsi="宋体"/>
          <w:sz w:val="32"/>
          <w:szCs w:val="32"/>
        </w:rPr>
      </w:pPr>
      <w:r>
        <w:rPr>
          <w:rFonts w:hint="eastAsia" w:ascii="仿宋_GB2312" w:hAnsi="宋体"/>
          <w:sz w:val="32"/>
          <w:szCs w:val="32"/>
        </w:rPr>
        <w:t>公司准备情况，包括在业务、资金、技术、人才等方面的储备，以及开展新业务对公司财务状况、现有业务的影响；</w:t>
      </w:r>
    </w:p>
    <w:p>
      <w:pPr>
        <w:pStyle w:val="34"/>
        <w:numPr>
          <w:ilvl w:val="0"/>
          <w:numId w:val="35"/>
        </w:numPr>
        <w:tabs>
          <w:tab w:val="left" w:pos="1418"/>
        </w:tabs>
        <w:spacing w:line="560" w:lineRule="exact"/>
        <w:ind w:left="0" w:firstLine="640"/>
        <w:rPr>
          <w:rFonts w:ascii="仿宋_GB2312" w:hAnsi="宋体"/>
          <w:sz w:val="32"/>
          <w:szCs w:val="32"/>
        </w:rPr>
      </w:pPr>
      <w:r>
        <w:rPr>
          <w:rFonts w:hint="eastAsia" w:ascii="仿宋_GB2312" w:hAnsi="宋体"/>
          <w:sz w:val="32"/>
          <w:szCs w:val="32"/>
        </w:rPr>
        <w:t>新业务的行业情况，包括所依赖的技术水平、</w:t>
      </w:r>
      <w:r>
        <w:rPr>
          <w:rFonts w:hint="eastAsia" w:ascii="仿宋_GB2312" w:hAnsi="宋体" w:cs="宋体"/>
          <w:sz w:val="32"/>
          <w:szCs w:val="32"/>
        </w:rPr>
        <w:t>研发进展、商业化情况、</w:t>
      </w:r>
      <w:r>
        <w:rPr>
          <w:rFonts w:hint="eastAsia" w:ascii="仿宋_GB2312" w:hAnsi="宋体"/>
          <w:sz w:val="32"/>
          <w:szCs w:val="32"/>
        </w:rPr>
        <w:t>市场成熟度、政策环境及市场竞争等；</w:t>
      </w:r>
    </w:p>
    <w:p>
      <w:pPr>
        <w:pStyle w:val="34"/>
        <w:numPr>
          <w:ilvl w:val="0"/>
          <w:numId w:val="35"/>
        </w:numPr>
        <w:tabs>
          <w:tab w:val="left" w:pos="1418"/>
        </w:tabs>
        <w:spacing w:line="560" w:lineRule="exact"/>
        <w:ind w:left="0" w:firstLine="640"/>
        <w:rPr>
          <w:rFonts w:ascii="仿宋_GB2312" w:hAnsi="宋体"/>
          <w:sz w:val="32"/>
          <w:szCs w:val="32"/>
        </w:rPr>
      </w:pPr>
      <w:r>
        <w:rPr>
          <w:rFonts w:hint="eastAsia" w:ascii="仿宋_GB2312" w:hAnsi="宋体"/>
          <w:sz w:val="32"/>
          <w:szCs w:val="32"/>
        </w:rPr>
        <w:t>新业务的管理情况，包括开展新业务后，公司实际控制人对公司的控制情况是否发生变化，公司能否控制新业务；</w:t>
      </w:r>
    </w:p>
    <w:p>
      <w:pPr>
        <w:pStyle w:val="34"/>
        <w:numPr>
          <w:ilvl w:val="0"/>
          <w:numId w:val="35"/>
        </w:numPr>
        <w:tabs>
          <w:tab w:val="left" w:pos="1418"/>
        </w:tabs>
        <w:spacing w:line="560" w:lineRule="exact"/>
        <w:ind w:left="0" w:firstLine="640"/>
        <w:rPr>
          <w:rFonts w:ascii="仿宋_GB2312" w:hAnsi="宋体"/>
          <w:sz w:val="32"/>
          <w:szCs w:val="32"/>
        </w:rPr>
      </w:pPr>
      <w:r>
        <w:rPr>
          <w:rFonts w:hint="eastAsia" w:ascii="仿宋_GB2312" w:hAnsi="宋体" w:cs="宋体"/>
          <w:sz w:val="32"/>
          <w:szCs w:val="32"/>
        </w:rPr>
        <w:t>新业务审批情况，包括已经取得或者尚待有关部门审批的说明（如适用）；</w:t>
      </w:r>
    </w:p>
    <w:p>
      <w:pPr>
        <w:pStyle w:val="34"/>
        <w:numPr>
          <w:ilvl w:val="0"/>
          <w:numId w:val="35"/>
        </w:numPr>
        <w:tabs>
          <w:tab w:val="left" w:pos="1418"/>
        </w:tabs>
        <w:spacing w:line="560" w:lineRule="exact"/>
        <w:ind w:left="0" w:firstLine="640"/>
        <w:rPr>
          <w:rFonts w:ascii="仿宋_GB2312" w:hAnsi="宋体"/>
          <w:sz w:val="32"/>
          <w:szCs w:val="32"/>
        </w:rPr>
      </w:pPr>
      <w:r>
        <w:rPr>
          <w:rFonts w:ascii="仿宋_GB2312" w:hAnsi="宋体"/>
          <w:sz w:val="32"/>
          <w:szCs w:val="32"/>
        </w:rPr>
        <w:t>新业务的风险提示</w:t>
      </w:r>
      <w:r>
        <w:rPr>
          <w:rFonts w:hint="eastAsia" w:ascii="仿宋_GB2312" w:hAnsi="宋体"/>
          <w:sz w:val="32"/>
          <w:szCs w:val="32"/>
        </w:rPr>
        <w:t>，包括上市公司经营风险、财务风险、新业务风险等；</w:t>
      </w:r>
    </w:p>
    <w:p>
      <w:pPr>
        <w:pStyle w:val="34"/>
        <w:numPr>
          <w:ilvl w:val="0"/>
          <w:numId w:val="35"/>
        </w:numPr>
        <w:tabs>
          <w:tab w:val="left" w:pos="1418"/>
        </w:tabs>
        <w:spacing w:line="560" w:lineRule="exact"/>
        <w:ind w:left="0" w:firstLine="640"/>
        <w:rPr>
          <w:rFonts w:ascii="仿宋_GB2312" w:hAnsi="宋体"/>
          <w:sz w:val="32"/>
          <w:szCs w:val="32"/>
        </w:rPr>
      </w:pPr>
      <w:r>
        <w:rPr>
          <w:rFonts w:hint="eastAsia" w:ascii="仿宋_GB2312" w:hAnsi="宋体"/>
          <w:sz w:val="32"/>
          <w:szCs w:val="32"/>
        </w:rPr>
        <w:t>监事会对公司开展新业务的意见；</w:t>
      </w:r>
    </w:p>
    <w:p>
      <w:pPr>
        <w:pStyle w:val="34"/>
        <w:numPr>
          <w:ilvl w:val="0"/>
          <w:numId w:val="35"/>
        </w:numPr>
        <w:tabs>
          <w:tab w:val="left" w:pos="1418"/>
        </w:tabs>
        <w:spacing w:line="560" w:lineRule="exact"/>
        <w:ind w:left="0" w:firstLine="640"/>
        <w:rPr>
          <w:rFonts w:ascii="仿宋_GB2312" w:hAnsi="宋体"/>
          <w:sz w:val="32"/>
          <w:szCs w:val="32"/>
        </w:rPr>
      </w:pPr>
      <w:r>
        <w:rPr>
          <w:rFonts w:hint="eastAsia" w:ascii="仿宋_GB2312" w:hAnsi="宋体"/>
          <w:sz w:val="32"/>
          <w:szCs w:val="32"/>
        </w:rPr>
        <w:t>本所或公司认为应当披露的其他重要内容。</w:t>
      </w:r>
    </w:p>
    <w:p>
      <w:pPr>
        <w:numPr>
          <w:ilvl w:val="2"/>
          <w:numId w:val="34"/>
        </w:numPr>
        <w:tabs>
          <w:tab w:val="left" w:pos="0"/>
          <w:tab w:val="left" w:pos="1418"/>
          <w:tab w:val="clear" w:pos="1107"/>
        </w:tabs>
        <w:autoSpaceDE w:val="0"/>
        <w:autoSpaceDN w:val="0"/>
        <w:adjustRightInd w:val="0"/>
        <w:snapToGrid w:val="0"/>
        <w:spacing w:line="560" w:lineRule="exact"/>
        <w:ind w:left="0"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上市公司采用具体指标披露行业信息的，应当对其含义作出详细解释，说明计算依据和假定条件，保证指标的一致性。相关指标的计算依据、假定条件等发生变化的，应当予以说明。</w:t>
      </w:r>
    </w:p>
    <w:p>
      <w:pPr>
        <w:pStyle w:val="34"/>
        <w:spacing w:line="560" w:lineRule="exact"/>
        <w:ind w:firstLine="640"/>
        <w:rPr>
          <w:sz w:val="32"/>
          <w:szCs w:val="32"/>
        </w:rPr>
      </w:pPr>
      <w:r>
        <w:rPr>
          <w:rFonts w:hint="eastAsia"/>
          <w:sz w:val="32"/>
          <w:szCs w:val="32"/>
        </w:rPr>
        <w:t>引用相关数据、资料，应当保证充分可靠、客观权威，并注明来源。</w:t>
      </w:r>
    </w:p>
    <w:p>
      <w:pPr>
        <w:pStyle w:val="36"/>
        <w:numPr>
          <w:ilvl w:val="1"/>
          <w:numId w:val="1"/>
        </w:numPr>
        <w:ind w:left="0" w:firstLine="643"/>
      </w:pPr>
      <w:bookmarkStart w:id="595" w:name="_Toc17548"/>
      <w:r>
        <w:rPr>
          <w:rFonts w:hint="eastAsia"/>
        </w:rPr>
        <w:t>经营风险</w:t>
      </w:r>
      <w:bookmarkEnd w:id="595"/>
    </w:p>
    <w:p>
      <w:pPr>
        <w:numPr>
          <w:ilvl w:val="2"/>
          <w:numId w:val="36"/>
        </w:numPr>
        <w:tabs>
          <w:tab w:val="left" w:pos="1418"/>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上市公司尚未盈利的，应当在年度报告显著位置披露公司核心竞争力和经营活动面临的重大风险。</w:t>
      </w:r>
    </w:p>
    <w:p>
      <w:pPr>
        <w:tabs>
          <w:tab w:val="left" w:pos="1418"/>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上市公司应当结合行业特点，充分披露尚未盈利的原因，以及对公司现金流、业务拓展、人才吸引、团队稳定性、研发投入、战略性投入、生产经营可持续性等方面的影响。</w:t>
      </w:r>
    </w:p>
    <w:p>
      <w:pPr>
        <w:numPr>
          <w:ilvl w:val="2"/>
          <w:numId w:val="36"/>
        </w:numPr>
        <w:tabs>
          <w:tab w:val="left" w:pos="0"/>
          <w:tab w:val="left" w:pos="1418"/>
          <w:tab w:val="clear" w:pos="1107"/>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上市公司年度净利润或营业收入与上年同期相比下降50%以上，或者净利润为负值的，应当在年度报告中披露下列信息：</w:t>
      </w:r>
    </w:p>
    <w:p>
      <w:pPr>
        <w:pStyle w:val="34"/>
        <w:numPr>
          <w:ilvl w:val="3"/>
          <w:numId w:val="1"/>
        </w:numPr>
        <w:tabs>
          <w:tab w:val="left" w:pos="0"/>
          <w:tab w:val="left" w:pos="1276"/>
          <w:tab w:val="left" w:pos="1418"/>
          <w:tab w:val="clear" w:pos="1980"/>
        </w:tabs>
        <w:autoSpaceDE w:val="0"/>
        <w:autoSpaceDN w:val="0"/>
        <w:adjustRightInd w:val="0"/>
        <w:snapToGrid w:val="0"/>
        <w:spacing w:line="560" w:lineRule="exact"/>
        <w:ind w:left="0" w:firstLine="640"/>
        <w:rPr>
          <w:rFonts w:ascii="仿宋_GB2312"/>
          <w:sz w:val="32"/>
          <w:szCs w:val="32"/>
        </w:rPr>
      </w:pPr>
      <w:r>
        <w:rPr>
          <w:rFonts w:hint="eastAsia" w:ascii="仿宋_GB2312" w:hAnsi="宋体" w:cs="宋体"/>
          <w:sz w:val="32"/>
          <w:szCs w:val="32"/>
        </w:rPr>
        <w:t>业绩大幅下滑或者亏损的具体原因；</w:t>
      </w:r>
    </w:p>
    <w:p>
      <w:pPr>
        <w:pStyle w:val="34"/>
        <w:numPr>
          <w:ilvl w:val="3"/>
          <w:numId w:val="1"/>
        </w:numPr>
        <w:tabs>
          <w:tab w:val="left" w:pos="0"/>
          <w:tab w:val="left" w:pos="1276"/>
          <w:tab w:val="left" w:pos="1418"/>
          <w:tab w:val="clear" w:pos="1980"/>
        </w:tabs>
        <w:autoSpaceDE w:val="0"/>
        <w:autoSpaceDN w:val="0"/>
        <w:adjustRightInd w:val="0"/>
        <w:snapToGrid w:val="0"/>
        <w:spacing w:line="560" w:lineRule="exact"/>
        <w:ind w:left="0" w:firstLine="640"/>
        <w:rPr>
          <w:rFonts w:ascii="仿宋_GB2312"/>
          <w:sz w:val="32"/>
          <w:szCs w:val="32"/>
        </w:rPr>
      </w:pPr>
      <w:r>
        <w:rPr>
          <w:rFonts w:hint="eastAsia" w:ascii="仿宋_GB2312"/>
          <w:sz w:val="32"/>
          <w:szCs w:val="32"/>
        </w:rPr>
        <w:t>主营业务、核心竞争力、主要财务指标是否发生重大不利变化，是否与行业趋势一致；</w:t>
      </w:r>
    </w:p>
    <w:p>
      <w:pPr>
        <w:pStyle w:val="34"/>
        <w:numPr>
          <w:ilvl w:val="3"/>
          <w:numId w:val="1"/>
        </w:numPr>
        <w:tabs>
          <w:tab w:val="left" w:pos="0"/>
          <w:tab w:val="left" w:pos="1276"/>
          <w:tab w:val="left" w:pos="1418"/>
          <w:tab w:val="clear" w:pos="1980"/>
        </w:tabs>
        <w:autoSpaceDE w:val="0"/>
        <w:autoSpaceDN w:val="0"/>
        <w:adjustRightInd w:val="0"/>
        <w:snapToGrid w:val="0"/>
        <w:spacing w:line="560" w:lineRule="exact"/>
        <w:ind w:left="0" w:firstLine="640"/>
        <w:rPr>
          <w:rFonts w:ascii="仿宋_GB2312"/>
          <w:sz w:val="32"/>
          <w:szCs w:val="32"/>
        </w:rPr>
      </w:pPr>
      <w:r>
        <w:rPr>
          <w:rFonts w:hint="eastAsia" w:ascii="仿宋_GB2312"/>
          <w:sz w:val="32"/>
          <w:szCs w:val="32"/>
        </w:rPr>
        <w:t>所处行业景气情况，是否存在产能过剩、持续衰退或者技术替代等情形；</w:t>
      </w:r>
    </w:p>
    <w:p>
      <w:pPr>
        <w:pStyle w:val="34"/>
        <w:numPr>
          <w:ilvl w:val="3"/>
          <w:numId w:val="1"/>
        </w:numPr>
        <w:tabs>
          <w:tab w:val="left" w:pos="0"/>
          <w:tab w:val="left" w:pos="1276"/>
          <w:tab w:val="left" w:pos="1418"/>
          <w:tab w:val="clear" w:pos="1980"/>
        </w:tabs>
        <w:autoSpaceDE w:val="0"/>
        <w:autoSpaceDN w:val="0"/>
        <w:adjustRightInd w:val="0"/>
        <w:snapToGrid w:val="0"/>
        <w:spacing w:line="560" w:lineRule="exact"/>
        <w:ind w:left="0" w:firstLine="640"/>
        <w:rPr>
          <w:rFonts w:ascii="仿宋_GB2312"/>
          <w:sz w:val="32"/>
          <w:szCs w:val="32"/>
        </w:rPr>
      </w:pPr>
      <w:r>
        <w:rPr>
          <w:rFonts w:hint="eastAsia" w:ascii="仿宋_GB2312"/>
          <w:sz w:val="32"/>
          <w:szCs w:val="32"/>
        </w:rPr>
        <w:t>持续经营能力是否存在重大风险；</w:t>
      </w:r>
    </w:p>
    <w:p>
      <w:pPr>
        <w:pStyle w:val="34"/>
        <w:numPr>
          <w:ilvl w:val="3"/>
          <w:numId w:val="1"/>
        </w:numPr>
        <w:tabs>
          <w:tab w:val="left" w:pos="0"/>
          <w:tab w:val="left" w:pos="1276"/>
          <w:tab w:val="left" w:pos="1418"/>
          <w:tab w:val="clear" w:pos="1980"/>
        </w:tabs>
        <w:autoSpaceDE w:val="0"/>
        <w:autoSpaceDN w:val="0"/>
        <w:adjustRightInd w:val="0"/>
        <w:snapToGrid w:val="0"/>
        <w:spacing w:line="560" w:lineRule="exact"/>
        <w:ind w:left="0" w:firstLine="640"/>
        <w:rPr>
          <w:rFonts w:ascii="仿宋_GB2312"/>
          <w:sz w:val="32"/>
          <w:szCs w:val="32"/>
        </w:rPr>
      </w:pPr>
      <w:r>
        <w:rPr>
          <w:rFonts w:hint="eastAsia" w:ascii="仿宋_GB2312"/>
          <w:sz w:val="32"/>
          <w:szCs w:val="32"/>
        </w:rPr>
        <w:t>对公司具有重大影响的其他信息。</w:t>
      </w:r>
    </w:p>
    <w:p>
      <w:pPr>
        <w:numPr>
          <w:ilvl w:val="2"/>
          <w:numId w:val="36"/>
        </w:numPr>
        <w:tabs>
          <w:tab w:val="left" w:pos="0"/>
          <w:tab w:val="left" w:pos="1418"/>
          <w:tab w:val="clear" w:pos="1107"/>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上市公司应当在年度报告中，遵循关联性和重要性原则，识别并披露下列可能对公司核心竞争力、经营活动和未来发展产生重大不利影响的风险因素：</w:t>
      </w:r>
    </w:p>
    <w:p>
      <w:pPr>
        <w:pStyle w:val="34"/>
        <w:numPr>
          <w:ilvl w:val="0"/>
          <w:numId w:val="37"/>
        </w:numPr>
        <w:tabs>
          <w:tab w:val="left" w:pos="1418"/>
        </w:tabs>
        <w:autoSpaceDE w:val="0"/>
        <w:autoSpaceDN w:val="0"/>
        <w:adjustRightInd w:val="0"/>
        <w:snapToGrid w:val="0"/>
        <w:spacing w:line="560" w:lineRule="exact"/>
        <w:ind w:left="0" w:firstLine="640"/>
        <w:rPr>
          <w:rFonts w:ascii="仿宋_GB2312"/>
          <w:sz w:val="32"/>
          <w:szCs w:val="32"/>
        </w:rPr>
      </w:pPr>
      <w:r>
        <w:rPr>
          <w:rFonts w:hint="eastAsia" w:ascii="仿宋_GB2312"/>
          <w:sz w:val="32"/>
          <w:szCs w:val="32"/>
        </w:rPr>
        <w:t>核心竞争力风险，包括技术更迭、产品更新换代或竞争加剧导致市场占有率和用户规模下降，研发投入超出预期或进程未达预期，关键设备被淘汰等；</w:t>
      </w:r>
    </w:p>
    <w:p>
      <w:pPr>
        <w:pStyle w:val="34"/>
        <w:numPr>
          <w:ilvl w:val="0"/>
          <w:numId w:val="37"/>
        </w:numPr>
        <w:tabs>
          <w:tab w:val="left" w:pos="1418"/>
        </w:tabs>
        <w:autoSpaceDE w:val="0"/>
        <w:autoSpaceDN w:val="0"/>
        <w:adjustRightInd w:val="0"/>
        <w:snapToGrid w:val="0"/>
        <w:spacing w:line="560" w:lineRule="exact"/>
        <w:ind w:left="0" w:firstLine="640"/>
        <w:rPr>
          <w:rFonts w:ascii="仿宋_GB2312"/>
          <w:sz w:val="32"/>
          <w:szCs w:val="32"/>
        </w:rPr>
      </w:pPr>
      <w:r>
        <w:rPr>
          <w:rFonts w:hint="eastAsia" w:ascii="仿宋_GB2312"/>
          <w:sz w:val="32"/>
          <w:szCs w:val="32"/>
        </w:rPr>
        <w:t>经营风险，包括单一客户依赖、原材料价格上涨、产品或服务价格下降等；</w:t>
      </w:r>
    </w:p>
    <w:p>
      <w:pPr>
        <w:pStyle w:val="34"/>
        <w:numPr>
          <w:ilvl w:val="0"/>
          <w:numId w:val="37"/>
        </w:numPr>
        <w:tabs>
          <w:tab w:val="left" w:pos="1418"/>
        </w:tabs>
        <w:autoSpaceDE w:val="0"/>
        <w:autoSpaceDN w:val="0"/>
        <w:adjustRightInd w:val="0"/>
        <w:snapToGrid w:val="0"/>
        <w:spacing w:line="560" w:lineRule="exact"/>
        <w:ind w:left="0" w:firstLine="640"/>
        <w:rPr>
          <w:rFonts w:ascii="仿宋_GB2312"/>
          <w:sz w:val="32"/>
          <w:szCs w:val="32"/>
        </w:rPr>
      </w:pPr>
      <w:r>
        <w:rPr>
          <w:rFonts w:hint="eastAsia" w:ascii="仿宋_GB2312"/>
          <w:sz w:val="32"/>
          <w:szCs w:val="32"/>
        </w:rPr>
        <w:t>行业风险，包括行业出现周期性衰退、产能过剩、市场容量下滑或增长停滞、行业上下游供求关系发生重大不利变化等；</w:t>
      </w:r>
    </w:p>
    <w:p>
      <w:pPr>
        <w:pStyle w:val="34"/>
        <w:numPr>
          <w:ilvl w:val="0"/>
          <w:numId w:val="37"/>
        </w:numPr>
        <w:tabs>
          <w:tab w:val="left" w:pos="1418"/>
        </w:tabs>
        <w:autoSpaceDE w:val="0"/>
        <w:autoSpaceDN w:val="0"/>
        <w:adjustRightInd w:val="0"/>
        <w:snapToGrid w:val="0"/>
        <w:spacing w:line="560" w:lineRule="exact"/>
        <w:ind w:left="0" w:firstLine="640"/>
        <w:rPr>
          <w:rFonts w:ascii="仿宋_GB2312"/>
          <w:sz w:val="32"/>
          <w:szCs w:val="32"/>
        </w:rPr>
      </w:pPr>
      <w:r>
        <w:rPr>
          <w:rFonts w:hint="eastAsia" w:ascii="仿宋_GB2312"/>
          <w:sz w:val="32"/>
          <w:szCs w:val="32"/>
        </w:rPr>
        <w:t>宏观环境风险，包括相关法律、税收、外汇、贸易等政策发生重大不利变化；</w:t>
      </w:r>
    </w:p>
    <w:p>
      <w:pPr>
        <w:pStyle w:val="34"/>
        <w:numPr>
          <w:ilvl w:val="0"/>
          <w:numId w:val="37"/>
        </w:numPr>
        <w:tabs>
          <w:tab w:val="left" w:pos="1418"/>
        </w:tabs>
        <w:autoSpaceDE w:val="0"/>
        <w:autoSpaceDN w:val="0"/>
        <w:adjustRightInd w:val="0"/>
        <w:snapToGrid w:val="0"/>
        <w:spacing w:line="560" w:lineRule="exact"/>
        <w:ind w:left="0" w:firstLine="640"/>
        <w:rPr>
          <w:rFonts w:ascii="仿宋_GB2312"/>
          <w:sz w:val="32"/>
          <w:szCs w:val="32"/>
        </w:rPr>
      </w:pPr>
      <w:r>
        <w:rPr>
          <w:rFonts w:hint="eastAsia" w:ascii="仿宋_GB2312"/>
          <w:sz w:val="32"/>
          <w:szCs w:val="32"/>
        </w:rPr>
        <w:t>其他重大风险。</w:t>
      </w:r>
    </w:p>
    <w:p>
      <w:pPr>
        <w:numPr>
          <w:ilvl w:val="2"/>
          <w:numId w:val="36"/>
        </w:numPr>
        <w:tabs>
          <w:tab w:val="left" w:pos="1418"/>
        </w:tabs>
        <w:autoSpaceDE w:val="0"/>
        <w:autoSpaceDN w:val="0"/>
        <w:adjustRightInd w:val="0"/>
        <w:snapToGrid w:val="0"/>
        <w:spacing w:line="56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上市公司发生下列重大风险事项的，应当及时披露其对公司核心竞争力和持续经营能力的具体影响：</w:t>
      </w:r>
    </w:p>
    <w:p>
      <w:pPr>
        <w:pStyle w:val="34"/>
        <w:numPr>
          <w:ilvl w:val="0"/>
          <w:numId w:val="38"/>
        </w:numPr>
        <w:spacing w:line="560" w:lineRule="exact"/>
        <w:ind w:left="0" w:firstLine="709" w:firstLineChars="0"/>
        <w:rPr>
          <w:rFonts w:ascii="仿宋_GB2312" w:hAnsi="Times New Roman"/>
          <w:sz w:val="32"/>
          <w:szCs w:val="32"/>
        </w:rPr>
      </w:pPr>
      <w:r>
        <w:rPr>
          <w:rFonts w:hint="eastAsia" w:ascii="仿宋_GB2312" w:hAnsi="Times New Roman"/>
          <w:sz w:val="32"/>
          <w:szCs w:val="32"/>
        </w:rPr>
        <w:t>国家政策、市场环境、贸易条件等外部宏观环境发生重大不利变化；</w:t>
      </w:r>
    </w:p>
    <w:p>
      <w:pPr>
        <w:pStyle w:val="34"/>
        <w:numPr>
          <w:ilvl w:val="0"/>
          <w:numId w:val="38"/>
        </w:numPr>
        <w:spacing w:line="560" w:lineRule="exact"/>
        <w:ind w:left="0" w:firstLine="640"/>
        <w:rPr>
          <w:rFonts w:ascii="仿宋_GB2312" w:hAnsi="Times New Roman"/>
          <w:sz w:val="32"/>
          <w:szCs w:val="32"/>
        </w:rPr>
      </w:pPr>
      <w:r>
        <w:rPr>
          <w:rFonts w:hint="eastAsia" w:ascii="仿宋_GB2312" w:hAnsi="Times New Roman"/>
          <w:sz w:val="32"/>
          <w:szCs w:val="32"/>
        </w:rPr>
        <w:t>原材料采购价格、产品售价或市场容量出现重大不利变化，或者供销渠道、重要供应商或客户发生重大不利变化；</w:t>
      </w:r>
    </w:p>
    <w:p>
      <w:pPr>
        <w:pStyle w:val="34"/>
        <w:numPr>
          <w:ilvl w:val="0"/>
          <w:numId w:val="38"/>
        </w:numPr>
        <w:spacing w:line="560" w:lineRule="exact"/>
        <w:ind w:left="0" w:firstLine="640"/>
        <w:rPr>
          <w:rFonts w:ascii="仿宋_GB2312" w:hAnsi="Times New Roman"/>
          <w:sz w:val="32"/>
          <w:szCs w:val="32"/>
        </w:rPr>
      </w:pPr>
      <w:r>
        <w:rPr>
          <w:rFonts w:hint="eastAsia" w:ascii="仿宋_GB2312"/>
          <w:sz w:val="32"/>
          <w:szCs w:val="32"/>
        </w:rPr>
        <w:t>核心技术人员离职；</w:t>
      </w:r>
    </w:p>
    <w:p>
      <w:pPr>
        <w:pStyle w:val="34"/>
        <w:numPr>
          <w:ilvl w:val="0"/>
          <w:numId w:val="38"/>
        </w:numPr>
        <w:spacing w:line="560" w:lineRule="exact"/>
        <w:ind w:left="0" w:firstLine="640"/>
        <w:rPr>
          <w:rFonts w:ascii="仿宋_GB2312" w:hAnsi="Times New Roman"/>
          <w:sz w:val="32"/>
          <w:szCs w:val="32"/>
        </w:rPr>
      </w:pPr>
      <w:r>
        <w:rPr>
          <w:rFonts w:hint="eastAsia" w:ascii="仿宋_GB2312"/>
          <w:sz w:val="32"/>
          <w:szCs w:val="32"/>
        </w:rPr>
        <w:t>核心商标、专利、专有技术、</w:t>
      </w:r>
      <w:r>
        <w:rPr>
          <w:rFonts w:hint="eastAsia" w:ascii="仿宋_GB2312" w:hAnsi="Times New Roman"/>
          <w:sz w:val="32"/>
          <w:szCs w:val="32"/>
        </w:rPr>
        <w:t>特许经营权或者核心技术许可丧失、到期或者出现重大纠纷；</w:t>
      </w:r>
    </w:p>
    <w:p>
      <w:pPr>
        <w:pStyle w:val="34"/>
        <w:numPr>
          <w:ilvl w:val="0"/>
          <w:numId w:val="38"/>
        </w:numPr>
        <w:spacing w:line="560" w:lineRule="exact"/>
        <w:ind w:left="0" w:firstLine="640"/>
        <w:rPr>
          <w:rFonts w:ascii="仿宋_GB2312" w:hAnsi="Times New Roman"/>
          <w:sz w:val="32"/>
          <w:szCs w:val="32"/>
        </w:rPr>
      </w:pPr>
      <w:r>
        <w:rPr>
          <w:rFonts w:hint="eastAsia" w:ascii="仿宋_GB2312" w:hAnsi="Times New Roman"/>
          <w:sz w:val="32"/>
          <w:szCs w:val="32"/>
        </w:rPr>
        <w:t>主要产品、业务或者所依赖的基础技术研发失败或者被禁止使用；</w:t>
      </w:r>
    </w:p>
    <w:p>
      <w:pPr>
        <w:pStyle w:val="34"/>
        <w:numPr>
          <w:ilvl w:val="0"/>
          <w:numId w:val="38"/>
        </w:numPr>
        <w:spacing w:line="560" w:lineRule="exact"/>
        <w:ind w:left="0" w:firstLine="640"/>
        <w:rPr>
          <w:rFonts w:ascii="仿宋_GB2312" w:hAnsi="Times New Roman"/>
          <w:sz w:val="32"/>
          <w:szCs w:val="32"/>
        </w:rPr>
      </w:pPr>
      <w:r>
        <w:rPr>
          <w:rFonts w:hint="eastAsia" w:ascii="仿宋_GB2312" w:hAnsi="Times New Roman"/>
          <w:sz w:val="32"/>
          <w:szCs w:val="32"/>
        </w:rPr>
        <w:t>主要产品或核心技术丧失竞争优势；</w:t>
      </w:r>
    </w:p>
    <w:p>
      <w:pPr>
        <w:pStyle w:val="34"/>
        <w:numPr>
          <w:ilvl w:val="0"/>
          <w:numId w:val="38"/>
        </w:numPr>
        <w:spacing w:line="560" w:lineRule="exact"/>
        <w:ind w:left="0" w:firstLine="640"/>
        <w:rPr>
          <w:rFonts w:ascii="仿宋_GB2312" w:hAnsi="仿宋"/>
          <w:sz w:val="32"/>
          <w:szCs w:val="32"/>
        </w:rPr>
      </w:pPr>
      <w:r>
        <w:rPr>
          <w:rFonts w:hint="eastAsia" w:ascii="仿宋_GB2312" w:hAnsi="Times New Roman"/>
          <w:sz w:val="32"/>
          <w:szCs w:val="32"/>
        </w:rPr>
        <w:t>其他重大风险事项。</w:t>
      </w:r>
    </w:p>
    <w:p>
      <w:pPr>
        <w:numPr>
          <w:ilvl w:val="2"/>
          <w:numId w:val="36"/>
        </w:numPr>
        <w:tabs>
          <w:tab w:val="left" w:pos="1418"/>
        </w:tabs>
        <w:autoSpaceDE w:val="0"/>
        <w:autoSpaceDN w:val="0"/>
        <w:adjustRightInd w:val="0"/>
        <w:snapToGrid w:val="0"/>
        <w:spacing w:line="56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出现下列重大事故或负面事件的，应当及时披露具体情况及其影响：</w:t>
      </w:r>
    </w:p>
    <w:p>
      <w:pPr>
        <w:pStyle w:val="70"/>
        <w:spacing w:line="560" w:lineRule="exact"/>
        <w:ind w:firstLine="640"/>
        <w:rPr>
          <w:rFonts w:ascii="仿宋_GB2312" w:hAnsi="仿宋" w:eastAsia="仿宋_GB2312"/>
          <w:sz w:val="32"/>
          <w:szCs w:val="32"/>
        </w:rPr>
      </w:pPr>
      <w:r>
        <w:rPr>
          <w:rFonts w:hint="eastAsia" w:ascii="仿宋_GB2312" w:hAnsi="仿宋" w:eastAsia="仿宋_GB2312"/>
          <w:sz w:val="32"/>
          <w:szCs w:val="32"/>
        </w:rPr>
        <w:t>（一）发生重大环境、生产及产品安全事故；</w:t>
      </w:r>
    </w:p>
    <w:p>
      <w:pPr>
        <w:pStyle w:val="70"/>
        <w:spacing w:line="560" w:lineRule="exact"/>
        <w:ind w:firstLine="640"/>
        <w:rPr>
          <w:rFonts w:ascii="仿宋_GB2312" w:hAnsi="仿宋" w:eastAsia="仿宋_GB2312"/>
          <w:sz w:val="32"/>
          <w:szCs w:val="32"/>
        </w:rPr>
      </w:pPr>
      <w:r>
        <w:rPr>
          <w:rFonts w:hint="eastAsia" w:ascii="仿宋_GB2312" w:hAnsi="仿宋" w:eastAsia="仿宋_GB2312"/>
          <w:sz w:val="32"/>
          <w:szCs w:val="32"/>
        </w:rPr>
        <w:t>（二）收到政府部门限期治理、停产、搬迁、关闭的决定通知</w:t>
      </w:r>
      <w:r>
        <w:rPr>
          <w:rFonts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（三）不当使用科学技术或违反科学伦理；</w:t>
      </w:r>
    </w:p>
    <w:p>
      <w:pPr>
        <w:spacing w:line="560" w:lineRule="exact"/>
        <w:ind w:firstLine="640" w:firstLineChars="200"/>
        <w:rPr>
          <w:rFonts w:ascii="仿宋_GB2312" w:hAnsi="宋体" w:eastAsia="仿宋_GB2312"/>
          <w:sz w:val="32"/>
          <w:szCs w:val="32"/>
        </w:rPr>
      </w:pPr>
      <w:r>
        <w:rPr>
          <w:rFonts w:hint="eastAsia" w:ascii="仿宋_GB2312" w:hAnsi="仿宋" w:eastAsia="仿宋_GB2312"/>
          <w:sz w:val="32"/>
          <w:szCs w:val="32"/>
        </w:rPr>
        <w:t>（四）其他不当履行社会责任的重大事故或负面事件。</w:t>
      </w:r>
    </w:p>
    <w:p>
      <w:pPr>
        <w:numPr>
          <w:ilvl w:val="2"/>
          <w:numId w:val="36"/>
        </w:numPr>
        <w:tabs>
          <w:tab w:val="left" w:pos="1418"/>
        </w:tabs>
        <w:autoSpaceDE w:val="0"/>
        <w:autoSpaceDN w:val="0"/>
        <w:adjustRightInd w:val="0"/>
        <w:snapToGrid w:val="0"/>
        <w:spacing w:line="560" w:lineRule="exact"/>
        <w:ind w:left="0" w:firstLine="640" w:firstLineChars="200"/>
        <w:rPr>
          <w:rFonts w:ascii="仿宋_GB2312" w:eastAsia="仿宋_GB2312"/>
          <w:sz w:val="32"/>
          <w:szCs w:val="32"/>
        </w:rPr>
      </w:pPr>
      <w:r>
        <w:rPr>
          <w:rFonts w:hint="eastAsia" w:ascii="仿宋_GB2312" w:hAnsi="宋体" w:eastAsia="仿宋_GB2312"/>
          <w:sz w:val="32"/>
          <w:szCs w:val="32"/>
        </w:rPr>
        <w:t>上市公司出现下列重大风险事项之一，</w:t>
      </w:r>
      <w:r>
        <w:rPr>
          <w:rFonts w:hint="eastAsia" w:ascii="仿宋_GB2312" w:eastAsia="仿宋_GB2312"/>
          <w:sz w:val="32"/>
          <w:szCs w:val="32"/>
        </w:rPr>
        <w:t>应当及时披露具体情况及其影响：</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（一）可能</w:t>
      </w:r>
      <w:r>
        <w:rPr>
          <w:rFonts w:hint="eastAsia" w:ascii="仿宋_GB2312" w:hAnsi="宋体" w:eastAsia="仿宋_GB2312"/>
          <w:sz w:val="32"/>
          <w:szCs w:val="32"/>
        </w:rPr>
        <w:t>发生重大亏损或者遭受重大损失</w:t>
      </w:r>
      <w:r>
        <w:rPr>
          <w:rFonts w:hint="eastAsia" w:ascii="仿宋_GB2312" w:eastAsia="仿宋_GB2312"/>
          <w:sz w:val="32"/>
          <w:szCs w:val="32"/>
        </w:rPr>
        <w:t>；</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hAnsi="宋体" w:eastAsia="仿宋_GB2312"/>
          <w:sz w:val="32"/>
          <w:szCs w:val="32"/>
        </w:rPr>
        <w:t>发生重大债务或者重大债权到期未获清偿</w:t>
      </w:r>
      <w:r>
        <w:rPr>
          <w:rFonts w:hint="eastAsia" w:ascii="仿宋_GB2312" w:eastAsia="仿宋_GB2312"/>
          <w:sz w:val="32"/>
          <w:szCs w:val="32"/>
        </w:rPr>
        <w:t>；</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（三）可能依法承担重大违约责任或者大额赔偿责任；</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（四）计提大额资产减值准备；</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（五）公司决定解散或者被有权机关依法吊销营业执照、责令关闭或者被撤销；</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（六）预计出现股东权益为负值；</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（七）主要债务人出现资不抵债，公司对相应债权未提取足额坏账准备；</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（八）主要资产被查封、扣押、冻结或者被抵押、质押；</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（九）主要银行账户被查封、冻结；</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（十）主要业务陷入停顿；</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（十一）董事会、股东大会会议无法正常召开并形成决议；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（十二）被控股股东及其关联方非经营性占用资金或违规对外担保；</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（十三）控股股东、实际控制人或者上市公司因涉嫌违法违规被有权机关调查，或者受到重大行政、刑事处罚；</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（十四）实际控制人、公司法定代表人或者经理无法履行职责，董事、监事、高级管理人员、核心技术人员因涉嫌违法违纪被有权机关调查或者采取强制措施，或者受到重大行政、刑事处罚；</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（十五）本所或者公司认定的其他重大风险情况。</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上述事项涉及具体金额的，比照适用第7.1.2条的规定。</w:t>
      </w:r>
    </w:p>
    <w:p>
      <w:pPr>
        <w:numPr>
          <w:ilvl w:val="2"/>
          <w:numId w:val="36"/>
        </w:numPr>
        <w:tabs>
          <w:tab w:val="left" w:pos="1418"/>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上市公司申请或者被债权人申请破产重整、和解或破产清算的，应当及时披露下列进展事项：</w:t>
      </w:r>
    </w:p>
    <w:p>
      <w:pPr>
        <w:pStyle w:val="17"/>
        <w:autoSpaceDE/>
        <w:autoSpaceDN/>
        <w:adjustRightInd/>
        <w:snapToGrid w:val="0"/>
        <w:spacing w:line="560" w:lineRule="exact"/>
        <w:ind w:firstLine="640" w:firstLineChars="200"/>
        <w:rPr>
          <w:sz w:val="32"/>
          <w:szCs w:val="32"/>
        </w:rPr>
      </w:pPr>
      <w:r>
        <w:rPr>
          <w:rFonts w:hint="eastAsia"/>
          <w:sz w:val="32"/>
          <w:szCs w:val="32"/>
        </w:rPr>
        <w:t>（一）法院裁定受理重整、和解或破产清算申请；</w:t>
      </w:r>
    </w:p>
    <w:p>
      <w:pPr>
        <w:pStyle w:val="17"/>
        <w:autoSpaceDE/>
        <w:autoSpaceDN/>
        <w:adjustRightInd/>
        <w:snapToGrid w:val="0"/>
        <w:spacing w:line="560" w:lineRule="exact"/>
        <w:ind w:firstLine="640" w:firstLineChars="200"/>
        <w:rPr>
          <w:sz w:val="32"/>
          <w:szCs w:val="32"/>
        </w:rPr>
      </w:pPr>
      <w:r>
        <w:rPr>
          <w:rFonts w:hint="eastAsia"/>
          <w:sz w:val="32"/>
          <w:szCs w:val="32"/>
        </w:rPr>
        <w:t>（二）重整、和解或破产清算程序的重大进展或法院审理裁定；</w:t>
      </w:r>
    </w:p>
    <w:p>
      <w:pPr>
        <w:pStyle w:val="17"/>
        <w:autoSpaceDE/>
        <w:autoSpaceDN/>
        <w:adjustRightInd/>
        <w:snapToGrid w:val="0"/>
        <w:spacing w:line="560" w:lineRule="exact"/>
        <w:ind w:firstLine="640" w:firstLineChars="200"/>
        <w:rPr>
          <w:kern w:val="0"/>
          <w:sz w:val="32"/>
          <w:szCs w:val="32"/>
        </w:rPr>
      </w:pPr>
      <w:r>
        <w:rPr>
          <w:rFonts w:hint="eastAsia"/>
          <w:kern w:val="0"/>
          <w:sz w:val="32"/>
          <w:szCs w:val="32"/>
        </w:rPr>
        <w:t>（三）法院裁定批准公司破产</w:t>
      </w:r>
      <w:r>
        <w:rPr>
          <w:kern w:val="0"/>
          <w:sz w:val="32"/>
          <w:szCs w:val="32"/>
        </w:rPr>
        <w:t>重整</w:t>
      </w:r>
      <w:r>
        <w:rPr>
          <w:rFonts w:hint="eastAsia"/>
          <w:kern w:val="0"/>
          <w:sz w:val="32"/>
          <w:szCs w:val="32"/>
        </w:rPr>
        <w:t>计划、和解协议或者清算；</w:t>
      </w:r>
    </w:p>
    <w:p>
      <w:pPr>
        <w:pStyle w:val="17"/>
        <w:autoSpaceDE/>
        <w:autoSpaceDN/>
        <w:adjustRightInd/>
        <w:snapToGrid w:val="0"/>
        <w:spacing w:line="560" w:lineRule="exact"/>
        <w:ind w:firstLine="640" w:firstLineChars="200"/>
        <w:rPr>
          <w:kern w:val="0"/>
          <w:sz w:val="32"/>
          <w:szCs w:val="32"/>
        </w:rPr>
      </w:pPr>
      <w:r>
        <w:rPr>
          <w:rFonts w:hint="eastAsia"/>
          <w:kern w:val="0"/>
          <w:sz w:val="32"/>
          <w:szCs w:val="32"/>
        </w:rPr>
        <w:t>（四）破产</w:t>
      </w:r>
      <w:r>
        <w:rPr>
          <w:kern w:val="0"/>
          <w:sz w:val="32"/>
          <w:szCs w:val="32"/>
        </w:rPr>
        <w:t>重整</w:t>
      </w:r>
      <w:r>
        <w:rPr>
          <w:rFonts w:hint="eastAsia"/>
          <w:kern w:val="0"/>
          <w:sz w:val="32"/>
          <w:szCs w:val="32"/>
        </w:rPr>
        <w:t>计划、和解协议的执行情况。</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进入破产程序的上市公司，除应当及时披露上述信息外，还应当及时披露定期报告和临时公告。</w:t>
      </w:r>
    </w:p>
    <w:p>
      <w:pPr>
        <w:numPr>
          <w:ilvl w:val="2"/>
          <w:numId w:val="36"/>
        </w:numPr>
        <w:tabs>
          <w:tab w:val="left" w:pos="1418"/>
        </w:tabs>
        <w:autoSpaceDE w:val="0"/>
        <w:autoSpaceDN w:val="0"/>
        <w:adjustRightInd w:val="0"/>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破产采取破产管理人管理或者监督运作模式的，破产管理人及其成员、董事、监事和高级管理人员应当按照《证券法》、最高人民法院、中国证监会和本所有关规定，及时、公平地向所有债权人和股东披露信息，并保证信息披露内容的真实、准确、完整。</w:t>
      </w:r>
    </w:p>
    <w:p>
      <w:pPr>
        <w:pStyle w:val="34"/>
        <w:spacing w:line="560" w:lineRule="exact"/>
        <w:ind w:firstLine="640"/>
        <w:rPr>
          <w:sz w:val="32"/>
          <w:szCs w:val="32"/>
        </w:rPr>
      </w:pPr>
    </w:p>
    <w:p>
      <w:pPr>
        <w:pStyle w:val="81"/>
        <w:rPr>
          <w:b/>
        </w:rPr>
      </w:pPr>
      <w:bookmarkStart w:id="596" w:name="_Toc13864"/>
      <w:r>
        <w:rPr>
          <w:rFonts w:hint="eastAsia"/>
        </w:rPr>
        <w:t>应当披露的其他重大事项</w:t>
      </w:r>
      <w:bookmarkEnd w:id="596"/>
    </w:p>
    <w:p>
      <w:pPr>
        <w:pStyle w:val="36"/>
        <w:numPr>
          <w:ilvl w:val="1"/>
          <w:numId w:val="1"/>
        </w:numPr>
        <w:ind w:left="0" w:firstLine="643"/>
      </w:pPr>
      <w:bookmarkStart w:id="597" w:name="_Toc15767"/>
      <w:r>
        <w:rPr>
          <w:rFonts w:hint="eastAsia"/>
        </w:rPr>
        <w:t>异常波动和传闻澄清</w:t>
      </w:r>
      <w:bookmarkEnd w:id="597"/>
    </w:p>
    <w:p>
      <w:pPr>
        <w:numPr>
          <w:ilvl w:val="2"/>
          <w:numId w:val="39"/>
        </w:numPr>
        <w:tabs>
          <w:tab w:val="left" w:pos="0"/>
          <w:tab w:val="clear" w:pos="709"/>
        </w:tabs>
        <w:snapToGrid w:val="0"/>
        <w:spacing w:line="560" w:lineRule="exact"/>
        <w:ind w:left="0" w:firstLine="640" w:firstLineChars="200"/>
        <w:rPr>
          <w:rFonts w:ascii="仿宋_GB2312" w:hAnsi="仿宋_GB2312" w:eastAsia="仿宋_GB2312" w:cs="仿宋_GB2312"/>
          <w:sz w:val="32"/>
          <w:szCs w:val="32"/>
        </w:rPr>
      </w:pPr>
      <w:r>
        <w:rPr>
          <w:rFonts w:hint="eastAsia" w:ascii="仿宋_GB2312" w:eastAsia="仿宋_GB2312"/>
          <w:sz w:val="32"/>
          <w:szCs w:val="32"/>
        </w:rPr>
        <w:t>上市公司股票交易出现本所业务规则规定或者本所认定的异常波动的，</w:t>
      </w:r>
      <w:r>
        <w:rPr>
          <w:rFonts w:hint="eastAsia" w:ascii="仿宋_GB2312" w:hAnsi="仿宋_GB2312" w:eastAsia="仿宋_GB2312" w:cs="仿宋_GB2312"/>
          <w:sz w:val="32"/>
          <w:szCs w:val="32"/>
        </w:rPr>
        <w:t>本所可以根据异常波动程度和监管需要，采取下列措施：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（一）要求上市公司披露股票交易异常波动公告；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（二）要求上市公司停牌核查并披露核查公告；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（三）向市场提示异常波动股票投资风险；</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（四）本所认为必要的其他措施。</w:t>
      </w:r>
    </w:p>
    <w:p>
      <w:pPr>
        <w:numPr>
          <w:ilvl w:val="2"/>
          <w:numId w:val="39"/>
        </w:numPr>
        <w:tabs>
          <w:tab w:val="left" w:pos="0"/>
          <w:tab w:val="clear" w:pos="709"/>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上市公司股票交易出现本所业务规则规定的异常波动的，公司应当于次一交易日披露股票交易异常波动公告。</w:t>
      </w:r>
      <w:r>
        <w:rPr>
          <w:rFonts w:hint="eastAsia" w:ascii="仿宋_GB2312" w:hAnsi="宋体" w:eastAsia="仿宋_GB2312"/>
          <w:color w:val="000000"/>
          <w:sz w:val="32"/>
          <w:szCs w:val="32"/>
        </w:rPr>
        <w:t>本所可以根据需要安排公司在非交易日公告。</w:t>
      </w:r>
    </w:p>
    <w:p>
      <w:pPr>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股票交易异常波动的计算从披露之日起重新起算。</w:t>
      </w:r>
    </w:p>
    <w:p>
      <w:pPr>
        <w:numPr>
          <w:ilvl w:val="2"/>
          <w:numId w:val="39"/>
        </w:numPr>
        <w:tabs>
          <w:tab w:val="left" w:pos="0"/>
          <w:tab w:val="clear" w:pos="709"/>
        </w:tabs>
        <w:snapToGrid w:val="0"/>
        <w:spacing w:line="560" w:lineRule="exact"/>
        <w:ind w:left="0" w:firstLine="640" w:firstLineChars="200"/>
        <w:rPr>
          <w:rFonts w:ascii="仿宋_GB2312" w:hAnsi="仿宋_GB2312" w:eastAsia="仿宋_GB2312" w:cs="仿宋_GB2312"/>
          <w:sz w:val="32"/>
          <w:szCs w:val="32"/>
        </w:rPr>
      </w:pPr>
      <w:r>
        <w:rPr>
          <w:rFonts w:hint="eastAsia" w:ascii="仿宋_GB2312" w:hAnsi="黑体" w:eastAsia="仿宋_GB2312"/>
          <w:sz w:val="32"/>
          <w:szCs w:val="32"/>
        </w:rPr>
        <w:t>上市公司股票交易出现本所业务规则规定的严重异常波动的,</w:t>
      </w:r>
      <w:r>
        <w:rPr>
          <w:rFonts w:hint="eastAsia" w:ascii="仿宋_GB2312" w:hAnsi="仿宋_GB2312" w:eastAsia="仿宋_GB2312" w:cs="仿宋_GB2312"/>
          <w:sz w:val="32"/>
          <w:szCs w:val="32"/>
        </w:rPr>
        <w:t>应当按照第9.1.4条的规定于次一交易日披露核查公告；无法披露的，应当申请其股票自次一交易日起停牌核查，直至披露核查公告后复牌。</w:t>
      </w:r>
    </w:p>
    <w:p>
      <w:pPr>
        <w:numPr>
          <w:ilvl w:val="2"/>
          <w:numId w:val="39"/>
        </w:numPr>
        <w:snapToGrid w:val="0"/>
        <w:spacing w:line="560" w:lineRule="exact"/>
        <w:ind w:left="0" w:firstLine="640" w:firstLineChars="200"/>
        <w:rPr>
          <w:rFonts w:ascii="仿宋_GB2312" w:hAnsi="仿宋_GB2312" w:eastAsia="仿宋_GB2312" w:cs="仿宋_GB2312"/>
          <w:sz w:val="32"/>
          <w:szCs w:val="32"/>
        </w:rPr>
      </w:pPr>
      <w:r>
        <w:rPr>
          <w:rFonts w:hint="eastAsia" w:ascii="仿宋_GB2312" w:hAnsi="黑体" w:eastAsia="仿宋_GB2312"/>
          <w:sz w:val="32"/>
          <w:szCs w:val="32"/>
        </w:rPr>
        <w:t>上市</w:t>
      </w:r>
      <w:r>
        <w:rPr>
          <w:rFonts w:hint="eastAsia" w:ascii="仿宋_GB2312" w:hAnsi="仿宋_GB2312" w:eastAsia="仿宋_GB2312" w:cs="仿宋_GB2312"/>
          <w:sz w:val="32"/>
          <w:szCs w:val="32"/>
        </w:rPr>
        <w:t>公司股票出现前条规定情形的，公司或相关信息披露义务人应当核查下列事项：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（一）是否存在导致股价严重异常波动的未披露事项；</w:t>
      </w:r>
    </w:p>
    <w:p>
      <w:pPr>
        <w:spacing w:line="56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（二）</w:t>
      </w:r>
      <w:r>
        <w:rPr>
          <w:rFonts w:hint="eastAsia" w:ascii="仿宋_GB2312" w:hAnsi="宋体" w:eastAsia="仿宋_GB2312"/>
          <w:sz w:val="32"/>
          <w:szCs w:val="32"/>
        </w:rPr>
        <w:t>股价是否严重偏离同行业上市公司合理估值；</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（三）是否存在重大风险事项；</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（四）其他可能导致股价严重异常波动的事项。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上市公司应当及时披露核查结果公告，充分提示公司股价严重异常波动的交易风险；</w:t>
      </w:r>
      <w:r>
        <w:rPr>
          <w:rFonts w:hint="eastAsia" w:ascii="仿宋_GB2312" w:eastAsia="仿宋_GB2312"/>
          <w:sz w:val="32"/>
          <w:szCs w:val="32"/>
        </w:rPr>
        <w:t>存在未披露重大事项的，应当召开投资者说明会。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上市公司股票应当自披露核查结果公告、投资者说明会公告（如有）之日起复牌。披露日为非交易日的，自次一交易日起复牌。</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保荐机构和保荐代表人应当督促上市公司按照本节规定及时进行核查，履行相应信息披露义务。</w:t>
      </w:r>
    </w:p>
    <w:p>
      <w:pPr>
        <w:numPr>
          <w:ilvl w:val="2"/>
          <w:numId w:val="39"/>
        </w:numPr>
        <w:snapToGrid w:val="0"/>
        <w:spacing w:line="560" w:lineRule="exact"/>
        <w:ind w:left="0" w:firstLine="640" w:firstLineChars="200"/>
        <w:rPr>
          <w:rFonts w:ascii="仿宋_GB2312" w:hAnsi="仿宋_GB2312" w:eastAsia="仿宋_GB2312" w:cs="仿宋_GB2312"/>
          <w:sz w:val="32"/>
          <w:szCs w:val="32"/>
        </w:rPr>
      </w:pPr>
      <w:r>
        <w:rPr>
          <w:rFonts w:hint="eastAsia" w:ascii="仿宋_GB2312" w:eastAsia="仿宋_GB2312"/>
          <w:sz w:val="32"/>
          <w:szCs w:val="32"/>
        </w:rPr>
        <w:t>上市公司股票交易出现严重异常波动，经公司核查后无应披露未披露重大事项，也无法对异常波动原因作出合理解释的，本所可以向市场公告，提示股票交易风险，并视情况实施特别停牌。</w:t>
      </w:r>
    </w:p>
    <w:p>
      <w:pPr>
        <w:numPr>
          <w:ilvl w:val="2"/>
          <w:numId w:val="39"/>
        </w:numPr>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w:t>
      </w:r>
      <w:r>
        <w:rPr>
          <w:rFonts w:hint="eastAsia" w:ascii="仿宋_GB2312" w:hAnsi="仿宋_GB2312" w:eastAsia="仿宋_GB2312" w:cs="仿宋_GB2312"/>
          <w:sz w:val="32"/>
          <w:szCs w:val="32"/>
        </w:rPr>
        <w:t>和相关信息披露义务人</w:t>
      </w:r>
      <w:r>
        <w:rPr>
          <w:rFonts w:hint="eastAsia" w:ascii="仿宋_GB2312" w:eastAsia="仿宋_GB2312"/>
          <w:sz w:val="32"/>
          <w:szCs w:val="32"/>
        </w:rPr>
        <w:t>应当密切关注公共媒体关于公司的重大报道、市场传闻（以下统称传闻）。相关传闻</w:t>
      </w:r>
      <w:r>
        <w:rPr>
          <w:rFonts w:hint="eastAsia" w:ascii="仿宋_GB2312" w:hAnsi="仿宋_GB2312" w:eastAsia="仿宋_GB2312" w:cs="仿宋_GB2312"/>
          <w:sz w:val="32"/>
          <w:szCs w:val="32"/>
        </w:rPr>
        <w:t>可能对投资决策或者公司股票交易产生较大影响的，</w:t>
      </w:r>
      <w:r>
        <w:rPr>
          <w:rFonts w:hint="eastAsia" w:ascii="仿宋_GB2312" w:eastAsia="仿宋_GB2312"/>
          <w:sz w:val="32"/>
          <w:szCs w:val="32"/>
        </w:rPr>
        <w:t>公司应当及时核实，并视情况披露或者澄清。</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本所认为相关传闻可能对公司股票交易价格产生较大影响的，可以要求公司予以核实、澄清。</w:t>
      </w:r>
      <w:r>
        <w:rPr>
          <w:rFonts w:hint="eastAsia" w:ascii="仿宋_GB2312" w:hAnsi="仿宋_GB2312" w:eastAsia="仿宋_GB2312" w:cs="仿宋_GB2312"/>
          <w:sz w:val="32"/>
          <w:szCs w:val="32"/>
        </w:rPr>
        <w:t>公司应当在本所要求的期限内核实，及时披露传闻澄清公告。</w:t>
      </w:r>
    </w:p>
    <w:p>
      <w:pPr>
        <w:pStyle w:val="36"/>
        <w:numPr>
          <w:ilvl w:val="1"/>
          <w:numId w:val="1"/>
        </w:numPr>
        <w:ind w:left="0" w:firstLine="643"/>
      </w:pPr>
      <w:bookmarkStart w:id="598" w:name="_Toc2800"/>
      <w:r>
        <w:rPr>
          <w:rFonts w:hint="eastAsia"/>
        </w:rPr>
        <w:t>股份质押</w:t>
      </w:r>
      <w:bookmarkEnd w:id="598"/>
    </w:p>
    <w:p>
      <w:pPr>
        <w:numPr>
          <w:ilvl w:val="2"/>
          <w:numId w:val="40"/>
        </w:numPr>
        <w:tabs>
          <w:tab w:val="left" w:pos="0"/>
          <w:tab w:val="clear" w:pos="709"/>
        </w:tabs>
        <w:snapToGrid w:val="0"/>
        <w:spacing w:line="560" w:lineRule="exact"/>
        <w:ind w:left="0" w:firstLine="640" w:firstLineChars="200"/>
        <w:rPr>
          <w:rFonts w:ascii="仿宋_GB2312" w:eastAsia="仿宋_GB2312"/>
          <w:kern w:val="28"/>
          <w:sz w:val="32"/>
          <w:szCs w:val="32"/>
        </w:rPr>
      </w:pPr>
      <w:r>
        <w:rPr>
          <w:rFonts w:hint="eastAsia" w:ascii="仿宋_GB2312" w:eastAsia="仿宋_GB2312"/>
          <w:kern w:val="28"/>
          <w:sz w:val="32"/>
          <w:szCs w:val="32"/>
        </w:rPr>
        <w:t>上市公司控股股东应当审慎质押所持公司股份，合理使用融入资金，维持上市公司控制权和生产经营稳定。</w:t>
      </w:r>
    </w:p>
    <w:p>
      <w:pPr>
        <w:numPr>
          <w:ilvl w:val="2"/>
          <w:numId w:val="40"/>
        </w:numPr>
        <w:tabs>
          <w:tab w:val="left" w:pos="0"/>
          <w:tab w:val="clear" w:pos="709"/>
        </w:tabs>
        <w:snapToGrid w:val="0"/>
        <w:spacing w:line="560" w:lineRule="exact"/>
        <w:ind w:left="0" w:firstLine="640" w:firstLineChars="200"/>
        <w:rPr>
          <w:rFonts w:ascii="仿宋_GB2312" w:eastAsia="仿宋_GB2312"/>
          <w:kern w:val="28"/>
          <w:sz w:val="32"/>
          <w:szCs w:val="32"/>
        </w:rPr>
      </w:pPr>
      <w:r>
        <w:rPr>
          <w:rFonts w:hint="eastAsia" w:ascii="仿宋_GB2312" w:eastAsia="仿宋_GB2312"/>
          <w:kern w:val="28"/>
          <w:sz w:val="32"/>
          <w:szCs w:val="32"/>
        </w:rPr>
        <w:t>上市公司控股股东及其一致行动人质押股份占其所持股份的比例达到50%以上，以及之后质押股份的，应当及时通知公司，并披露下列信息：</w:t>
      </w:r>
    </w:p>
    <w:p>
      <w:pPr>
        <w:pStyle w:val="34"/>
        <w:numPr>
          <w:ilvl w:val="3"/>
          <w:numId w:val="1"/>
        </w:numPr>
        <w:tabs>
          <w:tab w:val="left" w:pos="1701"/>
          <w:tab w:val="clear" w:pos="1980"/>
        </w:tabs>
        <w:snapToGrid w:val="0"/>
        <w:spacing w:line="560" w:lineRule="exact"/>
        <w:ind w:left="0" w:firstLine="640"/>
        <w:rPr>
          <w:rFonts w:ascii="仿宋_GB2312"/>
          <w:kern w:val="28"/>
          <w:sz w:val="32"/>
          <w:szCs w:val="32"/>
        </w:rPr>
      </w:pPr>
      <w:r>
        <w:rPr>
          <w:rFonts w:hint="eastAsia" w:ascii="仿宋_GB2312"/>
          <w:kern w:val="28"/>
          <w:sz w:val="32"/>
          <w:szCs w:val="32"/>
        </w:rPr>
        <w:t>本次质押股份数量、累计质押股份数量以及占其所持公司股份的比例；</w:t>
      </w:r>
    </w:p>
    <w:p>
      <w:pPr>
        <w:pStyle w:val="34"/>
        <w:numPr>
          <w:ilvl w:val="3"/>
          <w:numId w:val="1"/>
        </w:numPr>
        <w:tabs>
          <w:tab w:val="left" w:pos="0"/>
          <w:tab w:val="clear" w:pos="1980"/>
        </w:tabs>
        <w:snapToGrid w:val="0"/>
        <w:spacing w:line="560" w:lineRule="exact"/>
        <w:ind w:left="0" w:firstLine="640"/>
        <w:rPr>
          <w:rFonts w:ascii="仿宋_GB2312"/>
          <w:kern w:val="28"/>
          <w:sz w:val="32"/>
          <w:szCs w:val="32"/>
        </w:rPr>
      </w:pPr>
      <w:r>
        <w:rPr>
          <w:rFonts w:hint="eastAsia" w:ascii="仿宋_GB2312"/>
          <w:kern w:val="28"/>
          <w:sz w:val="32"/>
          <w:szCs w:val="32"/>
        </w:rPr>
        <w:t>本次质押期限、质押融资款项的最终用途及资金偿还安排；</w:t>
      </w:r>
    </w:p>
    <w:p>
      <w:pPr>
        <w:pStyle w:val="34"/>
        <w:numPr>
          <w:ilvl w:val="3"/>
          <w:numId w:val="1"/>
        </w:numPr>
        <w:tabs>
          <w:tab w:val="left" w:pos="0"/>
          <w:tab w:val="clear" w:pos="1980"/>
        </w:tabs>
        <w:snapToGrid w:val="0"/>
        <w:spacing w:line="560" w:lineRule="exact"/>
        <w:ind w:left="0" w:firstLine="640"/>
        <w:rPr>
          <w:rFonts w:ascii="仿宋_GB2312"/>
          <w:kern w:val="28"/>
          <w:sz w:val="32"/>
          <w:szCs w:val="32"/>
        </w:rPr>
      </w:pPr>
      <w:r>
        <w:rPr>
          <w:rFonts w:hint="eastAsia" w:ascii="仿宋_GB2312"/>
          <w:kern w:val="28"/>
          <w:sz w:val="32"/>
          <w:szCs w:val="32"/>
        </w:rPr>
        <w:t>控股股东及实际控制人的经营状况、财务状况、偿债能力、近一年对外投资情况，以及是否存在债务逾期或其他资信恶化的情形；</w:t>
      </w:r>
    </w:p>
    <w:p>
      <w:pPr>
        <w:pStyle w:val="34"/>
        <w:numPr>
          <w:ilvl w:val="3"/>
          <w:numId w:val="1"/>
        </w:numPr>
        <w:tabs>
          <w:tab w:val="left" w:pos="0"/>
          <w:tab w:val="clear" w:pos="1980"/>
        </w:tabs>
        <w:snapToGrid w:val="0"/>
        <w:spacing w:line="560" w:lineRule="exact"/>
        <w:ind w:left="0" w:firstLine="640"/>
        <w:rPr>
          <w:rFonts w:ascii="仿宋_GB2312"/>
          <w:kern w:val="28"/>
          <w:sz w:val="32"/>
          <w:szCs w:val="32"/>
        </w:rPr>
      </w:pPr>
      <w:r>
        <w:rPr>
          <w:rFonts w:hint="eastAsia" w:ascii="仿宋_GB2312"/>
          <w:kern w:val="28"/>
          <w:sz w:val="32"/>
          <w:szCs w:val="32"/>
        </w:rPr>
        <w:t>控股股东及其关联方与上市公司之间的关联交易、资金往来、担保、共同投资，以及控股股东、实际控制人是否占用上市公司资源；</w:t>
      </w:r>
    </w:p>
    <w:p>
      <w:pPr>
        <w:pStyle w:val="34"/>
        <w:numPr>
          <w:ilvl w:val="3"/>
          <w:numId w:val="1"/>
        </w:numPr>
        <w:tabs>
          <w:tab w:val="left" w:pos="0"/>
          <w:tab w:val="clear" w:pos="1980"/>
        </w:tabs>
        <w:snapToGrid w:val="0"/>
        <w:spacing w:line="560" w:lineRule="exact"/>
        <w:ind w:left="0" w:firstLine="640"/>
        <w:rPr>
          <w:rFonts w:ascii="仿宋_GB2312"/>
          <w:kern w:val="28"/>
          <w:sz w:val="32"/>
          <w:szCs w:val="32"/>
        </w:rPr>
      </w:pPr>
      <w:r>
        <w:rPr>
          <w:rFonts w:hint="eastAsia" w:ascii="仿宋_GB2312"/>
          <w:kern w:val="28"/>
          <w:sz w:val="32"/>
          <w:szCs w:val="32"/>
        </w:rPr>
        <w:t>股份质押对上市公司控制权的影响；</w:t>
      </w:r>
    </w:p>
    <w:p>
      <w:pPr>
        <w:pStyle w:val="34"/>
        <w:numPr>
          <w:ilvl w:val="3"/>
          <w:numId w:val="1"/>
        </w:numPr>
        <w:tabs>
          <w:tab w:val="left" w:pos="0"/>
          <w:tab w:val="clear" w:pos="1980"/>
        </w:tabs>
        <w:snapToGrid w:val="0"/>
        <w:spacing w:line="560" w:lineRule="exact"/>
        <w:ind w:left="0" w:firstLine="640"/>
        <w:rPr>
          <w:rFonts w:ascii="仿宋_GB2312"/>
          <w:kern w:val="28"/>
          <w:sz w:val="32"/>
          <w:szCs w:val="32"/>
        </w:rPr>
      </w:pPr>
      <w:r>
        <w:rPr>
          <w:rFonts w:hint="eastAsia" w:ascii="仿宋_GB2312"/>
          <w:kern w:val="28"/>
          <w:sz w:val="32"/>
          <w:szCs w:val="32"/>
        </w:rPr>
        <w:t>本所要求披露的其他信息。</w:t>
      </w:r>
    </w:p>
    <w:p>
      <w:pPr>
        <w:numPr>
          <w:ilvl w:val="2"/>
          <w:numId w:val="40"/>
        </w:numPr>
        <w:tabs>
          <w:tab w:val="left" w:pos="0"/>
          <w:tab w:val="clear" w:pos="709"/>
        </w:tabs>
        <w:snapToGrid w:val="0"/>
        <w:spacing w:line="560" w:lineRule="exact"/>
        <w:ind w:left="0" w:firstLine="640" w:firstLineChars="200"/>
        <w:rPr>
          <w:rFonts w:ascii="仿宋_GB2312" w:eastAsia="仿宋_GB2312"/>
          <w:kern w:val="28"/>
          <w:sz w:val="32"/>
          <w:szCs w:val="32"/>
        </w:rPr>
      </w:pPr>
      <w:r>
        <w:rPr>
          <w:rFonts w:hint="eastAsia" w:ascii="仿宋_GB2312" w:eastAsia="仿宋_GB2312"/>
          <w:kern w:val="28"/>
          <w:sz w:val="32"/>
          <w:szCs w:val="32"/>
        </w:rPr>
        <w:t>上市公司控股股东及其一致行动人质押股份占其所持股份的比例达到50%以上，且出现债务逾期或其他资信恶化情形的，应当及时通知公司并披露下列信息：</w:t>
      </w:r>
    </w:p>
    <w:p>
      <w:pPr>
        <w:pStyle w:val="34"/>
        <w:numPr>
          <w:ilvl w:val="0"/>
          <w:numId w:val="41"/>
        </w:numPr>
        <w:tabs>
          <w:tab w:val="left" w:pos="1134"/>
          <w:tab w:val="left" w:pos="1276"/>
          <w:tab w:val="left" w:pos="1418"/>
          <w:tab w:val="left" w:pos="1701"/>
        </w:tabs>
        <w:snapToGrid w:val="0"/>
        <w:spacing w:line="560" w:lineRule="exact"/>
        <w:ind w:left="0" w:firstLine="640"/>
        <w:rPr>
          <w:rFonts w:ascii="仿宋_GB2312"/>
          <w:kern w:val="28"/>
          <w:sz w:val="32"/>
          <w:szCs w:val="32"/>
        </w:rPr>
      </w:pPr>
      <w:r>
        <w:rPr>
          <w:rFonts w:hint="eastAsia" w:ascii="仿宋_GB2312"/>
          <w:kern w:val="28"/>
          <w:sz w:val="32"/>
          <w:szCs w:val="32"/>
        </w:rPr>
        <w:t>债务逾期金额、原因及应对措施；</w:t>
      </w:r>
    </w:p>
    <w:p>
      <w:pPr>
        <w:pStyle w:val="34"/>
        <w:numPr>
          <w:ilvl w:val="0"/>
          <w:numId w:val="41"/>
        </w:numPr>
        <w:tabs>
          <w:tab w:val="left" w:pos="1134"/>
          <w:tab w:val="left" w:pos="1418"/>
          <w:tab w:val="left" w:pos="1560"/>
        </w:tabs>
        <w:snapToGrid w:val="0"/>
        <w:spacing w:line="560" w:lineRule="exact"/>
        <w:ind w:left="0" w:firstLine="640"/>
        <w:rPr>
          <w:rFonts w:ascii="仿宋_GB2312"/>
          <w:kern w:val="28"/>
          <w:sz w:val="32"/>
          <w:szCs w:val="32"/>
        </w:rPr>
      </w:pPr>
      <w:r>
        <w:rPr>
          <w:rFonts w:hint="eastAsia" w:ascii="仿宋_GB2312"/>
          <w:kern w:val="28"/>
          <w:sz w:val="32"/>
          <w:szCs w:val="32"/>
        </w:rPr>
        <w:t>是否存在平仓风险以及可能被平仓的股份数量和比例；</w:t>
      </w:r>
    </w:p>
    <w:p>
      <w:pPr>
        <w:pStyle w:val="34"/>
        <w:numPr>
          <w:ilvl w:val="0"/>
          <w:numId w:val="41"/>
        </w:numPr>
        <w:tabs>
          <w:tab w:val="left" w:pos="1134"/>
          <w:tab w:val="left" w:pos="1418"/>
          <w:tab w:val="left" w:pos="1560"/>
        </w:tabs>
        <w:snapToGrid w:val="0"/>
        <w:spacing w:line="560" w:lineRule="exact"/>
        <w:ind w:left="0" w:firstLine="640"/>
        <w:rPr>
          <w:rFonts w:ascii="仿宋_GB2312"/>
          <w:kern w:val="28"/>
          <w:sz w:val="32"/>
          <w:szCs w:val="32"/>
        </w:rPr>
      </w:pPr>
      <w:r>
        <w:rPr>
          <w:rFonts w:hint="eastAsia" w:ascii="仿宋_GB2312"/>
          <w:kern w:val="28"/>
          <w:sz w:val="32"/>
          <w:szCs w:val="32"/>
        </w:rPr>
        <w:t>第9.2.2条第三项至第五项规定的内容；</w:t>
      </w:r>
    </w:p>
    <w:p>
      <w:pPr>
        <w:pStyle w:val="34"/>
        <w:numPr>
          <w:ilvl w:val="0"/>
          <w:numId w:val="41"/>
        </w:numPr>
        <w:tabs>
          <w:tab w:val="left" w:pos="1134"/>
          <w:tab w:val="left" w:pos="1418"/>
          <w:tab w:val="left" w:pos="1560"/>
        </w:tabs>
        <w:snapToGrid w:val="0"/>
        <w:spacing w:line="560" w:lineRule="exact"/>
        <w:ind w:left="0" w:firstLine="640"/>
        <w:rPr>
          <w:rFonts w:ascii="仿宋_GB2312"/>
          <w:kern w:val="28"/>
          <w:sz w:val="32"/>
          <w:szCs w:val="32"/>
        </w:rPr>
      </w:pPr>
      <w:r>
        <w:rPr>
          <w:rFonts w:hint="eastAsia" w:ascii="仿宋_GB2312"/>
          <w:kern w:val="28"/>
          <w:sz w:val="32"/>
          <w:szCs w:val="32"/>
        </w:rPr>
        <w:t>本所要求披露的其他信息。</w:t>
      </w:r>
    </w:p>
    <w:p>
      <w:pPr>
        <w:numPr>
          <w:ilvl w:val="2"/>
          <w:numId w:val="40"/>
        </w:numPr>
        <w:tabs>
          <w:tab w:val="left" w:pos="0"/>
          <w:tab w:val="clear" w:pos="709"/>
        </w:tabs>
        <w:snapToGrid w:val="0"/>
        <w:spacing w:line="560" w:lineRule="exact"/>
        <w:ind w:left="0" w:firstLine="640" w:firstLineChars="200"/>
        <w:rPr>
          <w:rFonts w:ascii="仿宋_GB2312" w:eastAsia="仿宋_GB2312"/>
          <w:kern w:val="28"/>
          <w:sz w:val="32"/>
          <w:szCs w:val="32"/>
        </w:rPr>
      </w:pPr>
      <w:r>
        <w:rPr>
          <w:rFonts w:hint="eastAsia" w:ascii="仿宋_GB2312" w:eastAsia="仿宋_GB2312"/>
          <w:kern w:val="28"/>
          <w:sz w:val="32"/>
          <w:szCs w:val="32"/>
        </w:rPr>
        <w:t>控股股东及其一致行动人出现质押平仓风险的，应当及时通知上市公司，披露是否可能导致公司控制权发生变更、拟采取的措施，并充分提示风险。</w:t>
      </w:r>
    </w:p>
    <w:p>
      <w:pPr>
        <w:snapToGrid w:val="0"/>
        <w:spacing w:line="560" w:lineRule="exact"/>
        <w:ind w:firstLine="640" w:firstLineChars="200"/>
        <w:rPr>
          <w:rFonts w:ascii="仿宋_GB2312" w:eastAsia="仿宋_GB2312"/>
          <w:kern w:val="28"/>
          <w:sz w:val="32"/>
          <w:szCs w:val="32"/>
        </w:rPr>
      </w:pPr>
      <w:r>
        <w:rPr>
          <w:rFonts w:hint="eastAsia" w:ascii="仿宋_GB2312" w:eastAsia="仿宋_GB2312"/>
          <w:kern w:val="28"/>
          <w:sz w:val="32"/>
          <w:szCs w:val="32"/>
        </w:rPr>
        <w:t>控股股东及其一致行动人质押股份被强制平仓或平仓风险解除的，应当持续披露进展。</w:t>
      </w:r>
    </w:p>
    <w:p>
      <w:pPr>
        <w:numPr>
          <w:ilvl w:val="2"/>
          <w:numId w:val="40"/>
        </w:numPr>
        <w:tabs>
          <w:tab w:val="left" w:pos="0"/>
          <w:tab w:val="clear" w:pos="709"/>
        </w:tabs>
        <w:snapToGrid w:val="0"/>
        <w:spacing w:line="560" w:lineRule="exact"/>
        <w:ind w:left="0" w:firstLine="640" w:firstLineChars="200"/>
        <w:rPr>
          <w:rFonts w:ascii="仿宋_GB2312" w:eastAsia="仿宋_GB2312"/>
          <w:kern w:val="28"/>
          <w:sz w:val="32"/>
          <w:szCs w:val="32"/>
        </w:rPr>
      </w:pPr>
      <w:r>
        <w:rPr>
          <w:rFonts w:hint="eastAsia" w:ascii="仿宋_GB2312" w:eastAsia="仿宋_GB2312"/>
          <w:kern w:val="28"/>
          <w:sz w:val="32"/>
          <w:szCs w:val="32"/>
        </w:rPr>
        <w:t>上市公司持股5%以上股东质押股份，应当在2个交易日内通知上市公司，并披露本次质押股份数量、累计质押股份数量以及占公司总股本比例。</w:t>
      </w:r>
    </w:p>
    <w:p>
      <w:pPr>
        <w:pStyle w:val="36"/>
        <w:numPr>
          <w:ilvl w:val="1"/>
          <w:numId w:val="1"/>
        </w:numPr>
        <w:ind w:left="0" w:firstLine="643"/>
      </w:pPr>
      <w:bookmarkStart w:id="599" w:name="_Toc20132"/>
      <w:r>
        <w:rPr>
          <w:rFonts w:hint="eastAsia"/>
        </w:rPr>
        <w:t>其他</w:t>
      </w:r>
      <w:bookmarkEnd w:id="599"/>
    </w:p>
    <w:p>
      <w:pPr>
        <w:numPr>
          <w:ilvl w:val="2"/>
          <w:numId w:val="42"/>
        </w:numPr>
        <w:tabs>
          <w:tab w:val="left" w:pos="1560"/>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上市公司应当及时披露下列重大诉讼、仲裁：</w:t>
      </w:r>
    </w:p>
    <w:p>
      <w:pPr>
        <w:tabs>
          <w:tab w:val="left" w:pos="156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（一）涉案金额超过</w:t>
      </w:r>
      <w:r>
        <w:rPr>
          <w:rFonts w:ascii="仿宋_GB2312" w:hAnsi="宋体" w:eastAsia="仿宋_GB2312"/>
          <w:sz w:val="32"/>
          <w:szCs w:val="32"/>
        </w:rPr>
        <w:t>1000万元，且占公司最近一期经审计总资产</w:t>
      </w:r>
      <w:r>
        <w:rPr>
          <w:rFonts w:hint="eastAsia" w:ascii="仿宋_GB2312" w:hAnsi="宋体" w:eastAsia="仿宋_GB2312"/>
          <w:sz w:val="32"/>
          <w:szCs w:val="32"/>
        </w:rPr>
        <w:t>或者</w:t>
      </w:r>
      <w:r>
        <w:rPr>
          <w:rFonts w:ascii="仿宋_GB2312" w:hAnsi="宋体" w:eastAsia="仿宋_GB2312"/>
          <w:sz w:val="32"/>
          <w:szCs w:val="32"/>
        </w:rPr>
        <w:t>市值</w:t>
      </w:r>
      <w:r>
        <w:rPr>
          <w:rFonts w:hint="eastAsia" w:ascii="仿宋_GB2312" w:hAnsi="宋体" w:eastAsia="仿宋_GB2312"/>
          <w:sz w:val="32"/>
          <w:szCs w:val="32"/>
        </w:rPr>
        <w:t>（按照第7.1.5条规定计算）</w:t>
      </w:r>
      <w:r>
        <w:rPr>
          <w:rFonts w:ascii="仿宋_GB2312" w:hAnsi="宋体" w:eastAsia="仿宋_GB2312"/>
          <w:sz w:val="32"/>
          <w:szCs w:val="32"/>
        </w:rPr>
        <w:t>1%以上</w:t>
      </w:r>
      <w:r>
        <w:rPr>
          <w:rFonts w:hint="eastAsia" w:ascii="仿宋_GB2312" w:hAnsi="宋体" w:eastAsia="仿宋_GB2312"/>
          <w:sz w:val="32"/>
          <w:szCs w:val="32"/>
        </w:rPr>
        <w:t>；</w:t>
      </w:r>
    </w:p>
    <w:p>
      <w:pPr>
        <w:tabs>
          <w:tab w:val="left" w:pos="156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（二）股东大会、董事会决议被申请撤销或者宣告无效；</w:t>
      </w:r>
    </w:p>
    <w:p>
      <w:pPr>
        <w:tabs>
          <w:tab w:val="left" w:pos="156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（三）董事会认为可能对公司控制权稳定、生产经营或股票交易价格产生较大影响的其他诉讼、仲裁。</w:t>
      </w:r>
    </w:p>
    <w:p>
      <w:pPr>
        <w:numPr>
          <w:ilvl w:val="2"/>
          <w:numId w:val="42"/>
        </w:numPr>
        <w:tabs>
          <w:tab w:val="left" w:pos="1560"/>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 xml:space="preserve">上市公司应当履行承诺。未履行承诺的，应当及时披露原因及解决措施。  </w:t>
      </w:r>
    </w:p>
    <w:p>
      <w:pPr>
        <w:tabs>
          <w:tab w:val="left" w:pos="1560"/>
        </w:tabs>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上市公司应当督促相关方履行承诺。相关方未履行承诺的，上市公司应当及时披露董事会拟采取的措施。</w:t>
      </w:r>
    </w:p>
    <w:p>
      <w:pPr>
        <w:numPr>
          <w:ilvl w:val="2"/>
          <w:numId w:val="42"/>
        </w:numPr>
        <w:tabs>
          <w:tab w:val="left" w:pos="1560"/>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上市公司应当建立完善募集资金的存储、使用、变更、决策、监督和责任追究等制度，披露募集资金重点投向科技创新领域的具体安排，并持续披露募集资金使用情况。</w:t>
      </w:r>
    </w:p>
    <w:p>
      <w:pPr>
        <w:numPr>
          <w:ilvl w:val="2"/>
          <w:numId w:val="42"/>
        </w:numPr>
        <w:tabs>
          <w:tab w:val="left" w:pos="1560"/>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上市公司出现下列情形之一的，应当及时披露：</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（一）变更公司名称、股票简称、公司章程、注册资本、注册地址、主要办公地址和联系电话等；</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经营方针和经营范围</w:t>
      </w:r>
      <w:r>
        <w:rPr>
          <w:rFonts w:hint="eastAsia" w:ascii="仿宋_GB2312" w:eastAsia="仿宋_GB2312"/>
          <w:sz w:val="32"/>
          <w:szCs w:val="32"/>
        </w:rPr>
        <w:t>发生</w:t>
      </w:r>
      <w:r>
        <w:rPr>
          <w:rFonts w:ascii="仿宋_GB2312" w:eastAsia="仿宋_GB2312"/>
          <w:sz w:val="32"/>
          <w:szCs w:val="32"/>
        </w:rPr>
        <w:t>重大变化；</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（三）变更会计政策或者会计估计；</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（四）公司法定代表人、经理、董事（含独立董事）或者三分之一以上的监事提出辞职或者发生变动；</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（五）聘任或者解聘为公司定期报告出具审计意见的会计师事务所；</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（六）法院裁定禁止公司控股股东转让其所持本公司股份；</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（七）持股5%以上股东的</w:t>
      </w:r>
      <w:r>
        <w:rPr>
          <w:rFonts w:ascii="仿宋_GB2312" w:eastAsia="仿宋_GB2312"/>
          <w:sz w:val="32"/>
          <w:szCs w:val="32"/>
        </w:rPr>
        <w:t>股份被</w:t>
      </w:r>
      <w:r>
        <w:rPr>
          <w:rFonts w:hint="eastAsia" w:ascii="仿宋_GB2312" w:eastAsia="仿宋_GB2312"/>
          <w:sz w:val="32"/>
          <w:szCs w:val="32"/>
        </w:rPr>
        <w:t>冻结、司法拍卖、托管、设定信托或者被依法限制表决权</w:t>
      </w:r>
      <w:r>
        <w:rPr>
          <w:rFonts w:ascii="仿宋_GB2312" w:eastAsia="仿宋_GB2312"/>
          <w:sz w:val="32"/>
          <w:szCs w:val="32"/>
        </w:rPr>
        <w:t>；</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（八）发生可能对公司资产、负债、权益或者经营成果产生重大影响的其他事项；</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（九）本所或者公司认定的其他情形。</w:t>
      </w:r>
    </w:p>
    <w:p>
      <w:pPr>
        <w:tabs>
          <w:tab w:val="left" w:pos="1560"/>
        </w:tabs>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上述事项涉及具体金额的，比照适用第7.1.2条的规定或本所其他规定。</w:t>
      </w:r>
    </w:p>
    <w:p>
      <w:pPr>
        <w:snapToGrid w:val="0"/>
        <w:spacing w:line="560" w:lineRule="exact"/>
        <w:ind w:firstLine="640" w:firstLineChars="200"/>
        <w:rPr>
          <w:rFonts w:ascii="仿宋_GB2312" w:hAnsi="Arial Unicode MS" w:eastAsia="仿宋_GB2312" w:cs="Arial Unicode MS"/>
          <w:sz w:val="32"/>
          <w:szCs w:val="32"/>
        </w:rPr>
      </w:pPr>
    </w:p>
    <w:p>
      <w:pPr>
        <w:pStyle w:val="81"/>
        <w:rPr>
          <w:b/>
        </w:rPr>
      </w:pPr>
      <w:bookmarkStart w:id="600" w:name="_Toc530127403"/>
      <w:bookmarkEnd w:id="600"/>
      <w:bookmarkStart w:id="601" w:name="_Toc530127407"/>
      <w:bookmarkEnd w:id="601"/>
      <w:bookmarkStart w:id="602" w:name="_Toc530127398"/>
      <w:bookmarkEnd w:id="602"/>
      <w:bookmarkStart w:id="603" w:name="_Toc530127399"/>
      <w:bookmarkEnd w:id="603"/>
      <w:bookmarkStart w:id="604" w:name="_Toc530127401"/>
      <w:bookmarkEnd w:id="604"/>
      <w:bookmarkStart w:id="605" w:name="_Toc530127397"/>
      <w:bookmarkEnd w:id="605"/>
      <w:bookmarkStart w:id="606" w:name="_Toc530127408"/>
      <w:bookmarkEnd w:id="606"/>
      <w:bookmarkStart w:id="607" w:name="_Toc530127400"/>
      <w:bookmarkEnd w:id="607"/>
      <w:bookmarkStart w:id="608" w:name="_Toc530127402"/>
      <w:bookmarkEnd w:id="608"/>
      <w:bookmarkStart w:id="609" w:name="_Toc530127404"/>
      <w:bookmarkEnd w:id="609"/>
      <w:bookmarkStart w:id="610" w:name="_Toc530127405"/>
      <w:bookmarkEnd w:id="610"/>
      <w:bookmarkStart w:id="611" w:name="_Toc530127406"/>
      <w:bookmarkEnd w:id="611"/>
      <w:bookmarkStart w:id="612" w:name="_Toc15423"/>
      <w:r>
        <w:rPr>
          <w:rFonts w:hint="eastAsia"/>
        </w:rPr>
        <w:t>股权激励</w:t>
      </w:r>
      <w:bookmarkEnd w:id="612"/>
    </w:p>
    <w:p>
      <w:pPr>
        <w:numPr>
          <w:ilvl w:val="2"/>
          <w:numId w:val="43"/>
        </w:numPr>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上市公司以本公司股票为标的，采用限制性股票、股票期权或者本所认可的其他方式，对董事、高级管理人员及其他员工进行长期性激励的，应当遵守本章规定，履行相应审议程序和信息披露义务。</w:t>
      </w:r>
    </w:p>
    <w:p>
      <w:pPr>
        <w:numPr>
          <w:ilvl w:val="2"/>
          <w:numId w:val="43"/>
        </w:numPr>
        <w:snapToGrid w:val="0"/>
        <w:spacing w:line="560" w:lineRule="exact"/>
        <w:ind w:left="0"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上市公司实行股权激励计划，应当设置合理的公司业绩和个人绩效等考核指标，有利于公司持续发展，不得损害公司利益。</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董事、监事和高级管理人员在实行股权激励计划中，应当诚实守信、勤勉尽责，维护公司和全体股东的利益。</w:t>
      </w:r>
    </w:p>
    <w:p>
      <w:pPr>
        <w:numPr>
          <w:ilvl w:val="2"/>
          <w:numId w:val="43"/>
        </w:numPr>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上市公司实行股权激励计划的，应当按照有关规定履行信息披露义务。</w:t>
      </w:r>
    </w:p>
    <w:p>
      <w:pPr>
        <w:snapToGrid w:val="0"/>
        <w:spacing w:line="560" w:lineRule="exact"/>
        <w:ind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上市公司应当在年度报告中披露报告期内股权激励计划的实施情况。</w:t>
      </w:r>
    </w:p>
    <w:p>
      <w:pPr>
        <w:numPr>
          <w:ilvl w:val="2"/>
          <w:numId w:val="43"/>
        </w:numPr>
        <w:snapToGrid w:val="0"/>
        <w:spacing w:line="560" w:lineRule="exact"/>
        <w:ind w:left="0"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激励对象可以包括上市公司的董事、高级管理人员、核心技术人员或者核心业务人员，以及公司认为应当激励的对公司经营业绩和未来发展有直接影响的其他员工，独立董事和监事除外。</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单独或合计持有上市公司</w:t>
      </w:r>
      <w:r>
        <w:rPr>
          <w:rFonts w:hint="eastAsia" w:ascii="仿宋_GB2312" w:hAnsi="Calibri" w:eastAsia="仿宋_GB2312" w:cs="TimesNewRomanPSMT"/>
          <w:kern w:val="0"/>
          <w:sz w:val="32"/>
          <w:szCs w:val="32"/>
        </w:rPr>
        <w:t>5%</w:t>
      </w:r>
      <w:r>
        <w:rPr>
          <w:rFonts w:hint="eastAsia" w:ascii="仿宋_GB2312" w:hAnsi="Calibri" w:eastAsia="仿宋_GB2312" w:cs="仿宋_GB2312"/>
          <w:kern w:val="0"/>
          <w:sz w:val="32"/>
          <w:szCs w:val="32"/>
        </w:rPr>
        <w:t>以上股份的股东、上市公司实际控制人及其配偶、父母、子女以及上市公司外籍员工，在上市公司担任董事、高级管理人员、核心技术人员或者核心业务人员的，可以成为激励对象。科创公司应当充分说明前述人员成为激励对象的必要性、合理性。</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激励对象不得具有《上市公司股权激励管理办法》第八条第二款第一项至第六项规定的情形。</w:t>
      </w:r>
    </w:p>
    <w:p>
      <w:pPr>
        <w:numPr>
          <w:ilvl w:val="2"/>
          <w:numId w:val="43"/>
        </w:numPr>
        <w:snapToGrid w:val="0"/>
        <w:spacing w:line="560" w:lineRule="exact"/>
        <w:ind w:left="0"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上市公司授予激励对象限制性股票，包括下列类型：</w:t>
      </w:r>
    </w:p>
    <w:p>
      <w:pPr>
        <w:snapToGrid w:val="0"/>
        <w:spacing w:line="560" w:lineRule="exact"/>
        <w:ind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（一）激励对象按照股权激励计划规定的条件，获得的转让等部分权利受到限制的本公司股票；</w:t>
      </w:r>
    </w:p>
    <w:p>
      <w:pPr>
        <w:snapToGrid w:val="0"/>
        <w:spacing w:line="560" w:lineRule="exact"/>
        <w:ind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（二）符合股权激励计划授予条件的激励对象，在满足相应获益条件后分次获得并登记的本公司股票。</w:t>
      </w:r>
    </w:p>
    <w:p>
      <w:pPr>
        <w:numPr>
          <w:ilvl w:val="2"/>
          <w:numId w:val="43"/>
        </w:numPr>
        <w:snapToGrid w:val="0"/>
        <w:spacing w:line="560" w:lineRule="exact"/>
        <w:ind w:left="0"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上市公司授予激励对象限制性股票的价格，低于股权激励计划草案公布前</w:t>
      </w:r>
      <w:r>
        <w:rPr>
          <w:rFonts w:hint="eastAsia" w:ascii="仿宋_GB2312" w:hAnsi="Calibri" w:eastAsia="仿宋_GB2312" w:cs="TimesNewRomanPSMT"/>
          <w:kern w:val="0"/>
          <w:sz w:val="32"/>
          <w:szCs w:val="32"/>
        </w:rPr>
        <w:t xml:space="preserve">1 </w:t>
      </w:r>
      <w:r>
        <w:rPr>
          <w:rFonts w:hint="eastAsia" w:ascii="仿宋_GB2312" w:hAnsi="Calibri" w:eastAsia="仿宋_GB2312" w:cs="仿宋_GB2312"/>
          <w:kern w:val="0"/>
          <w:sz w:val="32"/>
          <w:szCs w:val="32"/>
        </w:rPr>
        <w:t>个交易日、</w:t>
      </w:r>
      <w:r>
        <w:rPr>
          <w:rFonts w:hint="eastAsia" w:ascii="仿宋_GB2312" w:hAnsi="Calibri" w:eastAsia="仿宋_GB2312" w:cs="TimesNewRomanPSMT"/>
          <w:kern w:val="0"/>
          <w:sz w:val="32"/>
          <w:szCs w:val="32"/>
        </w:rPr>
        <w:t xml:space="preserve">20 </w:t>
      </w:r>
      <w:r>
        <w:rPr>
          <w:rFonts w:hint="eastAsia" w:ascii="仿宋_GB2312" w:hAnsi="Calibri" w:eastAsia="仿宋_GB2312" w:cs="仿宋_GB2312"/>
          <w:kern w:val="0"/>
          <w:sz w:val="32"/>
          <w:szCs w:val="32"/>
        </w:rPr>
        <w:t>个交易日、</w:t>
      </w:r>
      <w:r>
        <w:rPr>
          <w:rFonts w:hint="eastAsia" w:ascii="仿宋_GB2312" w:hAnsi="Calibri" w:eastAsia="仿宋_GB2312" w:cs="TimesNewRomanPSMT"/>
          <w:kern w:val="0"/>
          <w:sz w:val="32"/>
          <w:szCs w:val="32"/>
        </w:rPr>
        <w:t xml:space="preserve">60 </w:t>
      </w:r>
      <w:r>
        <w:rPr>
          <w:rFonts w:hint="eastAsia" w:ascii="仿宋_GB2312" w:hAnsi="Calibri" w:eastAsia="仿宋_GB2312" w:cs="仿宋_GB2312"/>
          <w:kern w:val="0"/>
          <w:sz w:val="32"/>
          <w:szCs w:val="32"/>
        </w:rPr>
        <w:t>个交易日或者</w:t>
      </w:r>
      <w:r>
        <w:rPr>
          <w:rFonts w:hint="eastAsia" w:ascii="仿宋_GB2312" w:hAnsi="Calibri" w:eastAsia="仿宋_GB2312" w:cs="TimesNewRomanPSMT"/>
          <w:kern w:val="0"/>
          <w:sz w:val="32"/>
          <w:szCs w:val="32"/>
        </w:rPr>
        <w:t xml:space="preserve">120 </w:t>
      </w:r>
      <w:r>
        <w:rPr>
          <w:rFonts w:hint="eastAsia" w:ascii="仿宋_GB2312" w:hAnsi="Calibri" w:eastAsia="仿宋_GB2312" w:cs="仿宋_GB2312"/>
          <w:kern w:val="0"/>
          <w:sz w:val="32"/>
          <w:szCs w:val="32"/>
        </w:rPr>
        <w:t>个交易日公司股票交易均价的</w:t>
      </w:r>
      <w:r>
        <w:rPr>
          <w:rFonts w:hint="eastAsia" w:ascii="仿宋_GB2312" w:hAnsi="Calibri" w:eastAsia="仿宋_GB2312" w:cs="TimesNewRomanPSMT"/>
          <w:kern w:val="0"/>
          <w:sz w:val="32"/>
          <w:szCs w:val="32"/>
        </w:rPr>
        <w:t>50%</w:t>
      </w:r>
      <w:r>
        <w:rPr>
          <w:rFonts w:hint="eastAsia" w:ascii="仿宋_GB2312" w:hAnsi="Calibri" w:eastAsia="仿宋_GB2312" w:cs="仿宋_GB2312"/>
          <w:kern w:val="0"/>
          <w:sz w:val="32"/>
          <w:szCs w:val="32"/>
        </w:rPr>
        <w:t>的，应当说明定价依据及定价方式。</w:t>
      </w:r>
    </w:p>
    <w:p>
      <w:pPr>
        <w:autoSpaceDE w:val="0"/>
        <w:autoSpaceDN w:val="0"/>
        <w:adjustRightInd w:val="0"/>
        <w:spacing w:line="560" w:lineRule="exact"/>
        <w:ind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出现前款规定情形的，上市公司应当聘请独立财务顾问，对股权激励计划的可行性、相关定价依据和定价方法的合理性、是否有利于公司持续发展、是否损害股东利益等发表意见。</w:t>
      </w:r>
    </w:p>
    <w:p>
      <w:pPr>
        <w:numPr>
          <w:ilvl w:val="2"/>
          <w:numId w:val="43"/>
        </w:numPr>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上市公司授予激励对象第10.5条第二项所述限制性股票，应当就激励对象分次获益设立条件，并在满足各次获益条件时分批进行股份登记。当次获益条件不满足的，不得进行股份登记。</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公司应当在股权激励计划中明确披露分次授予权益的数量、获益条件、股份授予或者登记时间及相关限售安排。</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获益条件包含12个月以上的任职期限的，实际授予的权益进行登记后，可不再设置限售期。</w:t>
      </w:r>
    </w:p>
    <w:p>
      <w:pPr>
        <w:numPr>
          <w:ilvl w:val="2"/>
          <w:numId w:val="43"/>
        </w:numPr>
        <w:snapToGrid w:val="0"/>
        <w:spacing w:line="560" w:lineRule="exact"/>
        <w:ind w:left="0"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上市公司可以同时实施多项股权激励计划。上市公司全部在有效期内的股权激励计划所涉及的标的股票总数，累计不得超过公司股本总额的</w:t>
      </w:r>
      <w:r>
        <w:rPr>
          <w:rFonts w:hint="eastAsia" w:ascii="仿宋_GB2312" w:hAnsi="Calibri" w:eastAsia="仿宋_GB2312" w:cs="TimesNewRomanPSMT"/>
          <w:kern w:val="0"/>
          <w:sz w:val="32"/>
          <w:szCs w:val="32"/>
        </w:rPr>
        <w:t>20%</w:t>
      </w:r>
      <w:r>
        <w:rPr>
          <w:rFonts w:hint="eastAsia" w:ascii="仿宋_GB2312" w:hAnsi="Calibri" w:eastAsia="仿宋_GB2312" w:cs="仿宋_GB2312"/>
          <w:kern w:val="0"/>
          <w:sz w:val="32"/>
          <w:szCs w:val="32"/>
        </w:rPr>
        <w:t>。</w:t>
      </w:r>
    </w:p>
    <w:p>
      <w:pPr>
        <w:spacing w:line="560" w:lineRule="exact"/>
        <w:ind w:firstLine="640" w:firstLineChars="200"/>
        <w:rPr>
          <w:sz w:val="32"/>
          <w:szCs w:val="32"/>
        </w:rPr>
      </w:pPr>
    </w:p>
    <w:p>
      <w:pPr>
        <w:pStyle w:val="38"/>
        <w:numPr>
          <w:ilvl w:val="0"/>
          <w:numId w:val="1"/>
        </w:numPr>
        <w:ind w:left="0" w:firstLine="643"/>
        <w:rPr>
          <w:b/>
        </w:rPr>
      </w:pPr>
      <w:bookmarkStart w:id="613" w:name="_Toc21884"/>
      <w:r>
        <w:rPr>
          <w:rFonts w:hint="eastAsia"/>
          <w:b/>
        </w:rPr>
        <w:t>重大资产重组</w:t>
      </w:r>
      <w:bookmarkEnd w:id="613"/>
    </w:p>
    <w:p>
      <w:pPr>
        <w:numPr>
          <w:ilvl w:val="2"/>
          <w:numId w:val="44"/>
        </w:numPr>
        <w:tabs>
          <w:tab w:val="left" w:pos="0"/>
          <w:tab w:val="left" w:pos="1701"/>
        </w:tabs>
        <w:snapToGrid w:val="0"/>
        <w:spacing w:line="560" w:lineRule="exact"/>
        <w:ind w:left="0"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上市公司应当依照《上市公司重大资产重组管理办法》（以下简称《重组办法》）及中国证监会其他相关规定、本规则及本所其他规定，实施重大资产重组。</w:t>
      </w:r>
    </w:p>
    <w:p>
      <w:pPr>
        <w:numPr>
          <w:ilvl w:val="2"/>
          <w:numId w:val="44"/>
        </w:numPr>
        <w:tabs>
          <w:tab w:val="left" w:pos="0"/>
          <w:tab w:val="left" w:pos="1701"/>
        </w:tabs>
        <w:snapToGrid w:val="0"/>
        <w:spacing w:line="560" w:lineRule="exact"/>
        <w:ind w:left="0"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上市公司重大资产重组、发行股份购买资产（以下统称重大资产重组）的，标的资产应当与上市公司主营业务具有协同效应，有利于促进主营业务整合升级和提高上市公司持续经营能力。</w:t>
      </w:r>
    </w:p>
    <w:p>
      <w:pPr>
        <w:numPr>
          <w:ilvl w:val="2"/>
          <w:numId w:val="44"/>
        </w:numPr>
        <w:tabs>
          <w:tab w:val="left" w:pos="0"/>
          <w:tab w:val="left" w:pos="1701"/>
        </w:tabs>
        <w:snapToGrid w:val="0"/>
        <w:spacing w:line="560" w:lineRule="exact"/>
        <w:ind w:left="0"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上市公司实施发行股份购买资产、合并、分立等涉及发行股票的并购重组，由本所审核，并经中国证监会注册后方可实施。</w:t>
      </w:r>
    </w:p>
    <w:p>
      <w:pPr>
        <w:tabs>
          <w:tab w:val="left" w:pos="1418"/>
          <w:tab w:val="left" w:pos="1701"/>
        </w:tabs>
        <w:snapToGrid w:val="0"/>
        <w:spacing w:line="560" w:lineRule="exac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    构成《重组办法》第十三条规定交易情形，但不涉及发行股票的，参照适用前款规定。</w:t>
      </w:r>
    </w:p>
    <w:p>
      <w:pPr>
        <w:numPr>
          <w:ilvl w:val="2"/>
          <w:numId w:val="44"/>
        </w:numPr>
        <w:tabs>
          <w:tab w:val="left" w:pos="0"/>
          <w:tab w:val="left" w:pos="1701"/>
        </w:tabs>
        <w:snapToGrid w:val="0"/>
        <w:spacing w:line="560" w:lineRule="exact"/>
        <w:ind w:left="0"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上市公司应当确保能够对购买的标的资产实施有效控制，保证标的资产合规运行，督促重大资产重组交易对方履行承诺。</w:t>
      </w:r>
    </w:p>
    <w:p>
      <w:pPr>
        <w:numPr>
          <w:ilvl w:val="2"/>
          <w:numId w:val="44"/>
        </w:numPr>
        <w:tabs>
          <w:tab w:val="left" w:pos="1701"/>
        </w:tabs>
        <w:snapToGrid w:val="0"/>
        <w:spacing w:line="560" w:lineRule="exact"/>
        <w:ind w:left="0"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上市公司实施重大资产重组的，应当按照《企业会计准则》的有关规定确认商誉，并结合宏观环境、行业环境、实际经营状况及未来经营规划等因素，谨慎实施后续计量、列报和披露，及时进行减值测试，足额计提减值损失，并披露能够公允反映商誉价值的相关信息。</w:t>
      </w:r>
    </w:p>
    <w:p>
      <w:pPr>
        <w:numPr>
          <w:ilvl w:val="2"/>
          <w:numId w:val="44"/>
        </w:numPr>
        <w:tabs>
          <w:tab w:val="left" w:pos="1701"/>
        </w:tabs>
        <w:snapToGrid w:val="0"/>
        <w:spacing w:line="560" w:lineRule="exact"/>
        <w:ind w:left="0"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上市公司应当聘请独立财务顾问就重大资产重组出具意见。</w:t>
      </w:r>
    </w:p>
    <w:p>
      <w:pPr>
        <w:tabs>
          <w:tab w:val="left" w:pos="1701"/>
        </w:tabs>
        <w:snapToGrid w:val="0"/>
        <w:spacing w:line="560" w:lineRule="exact"/>
        <w:ind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独立财务顾问应当就重大资产重组的协同性和上市公司控制标的资产的能力发表明确意见，并在持续督导期间督促上市公司有效控制并整合标的资产。</w:t>
      </w:r>
    </w:p>
    <w:p>
      <w:pPr>
        <w:tabs>
          <w:tab w:val="left" w:pos="1560"/>
        </w:tabs>
        <w:autoSpaceDE w:val="0"/>
        <w:autoSpaceDN w:val="0"/>
        <w:adjustRightInd w:val="0"/>
        <w:snapToGrid w:val="0"/>
        <w:spacing w:line="560" w:lineRule="exact"/>
        <w:ind w:firstLine="643" w:firstLineChars="200"/>
        <w:rPr>
          <w:rFonts w:ascii="黑体" w:hAnsi="Arial Unicode MS" w:eastAsia="黑体" w:cs="Arial Unicode MS"/>
          <w:b/>
          <w:bCs/>
          <w:kern w:val="44"/>
          <w:sz w:val="32"/>
          <w:szCs w:val="32"/>
        </w:rPr>
      </w:pPr>
    </w:p>
    <w:p>
      <w:pPr>
        <w:pStyle w:val="38"/>
        <w:numPr>
          <w:ilvl w:val="0"/>
          <w:numId w:val="1"/>
        </w:numPr>
        <w:ind w:left="0" w:firstLine="643"/>
        <w:rPr>
          <w:b/>
        </w:rPr>
      </w:pPr>
      <w:bookmarkStart w:id="614" w:name="_Toc32517"/>
      <w:r>
        <w:rPr>
          <w:rFonts w:hint="eastAsia"/>
          <w:b/>
        </w:rPr>
        <w:t>退市与风险警示</w:t>
      </w:r>
      <w:bookmarkEnd w:id="614"/>
    </w:p>
    <w:p>
      <w:pPr>
        <w:pStyle w:val="36"/>
      </w:pPr>
      <w:bookmarkStart w:id="615" w:name="_Toc4188"/>
      <w:r>
        <w:rPr>
          <w:rFonts w:hint="eastAsia"/>
        </w:rPr>
        <w:t>第一节  一般规定</w:t>
      </w:r>
      <w:bookmarkEnd w:id="615"/>
    </w:p>
    <w:p>
      <w:pPr>
        <w:numPr>
          <w:ilvl w:val="2"/>
          <w:numId w:val="45"/>
        </w:numPr>
        <w:tabs>
          <w:tab w:val="left" w:pos="1560"/>
          <w:tab w:val="left" w:pos="1843"/>
          <w:tab w:val="left" w:pos="1985"/>
          <w:tab w:val="left" w:pos="2127"/>
        </w:tabs>
        <w:snapToGrid w:val="0"/>
        <w:spacing w:line="560" w:lineRule="exact"/>
        <w:ind w:left="0" w:firstLine="640" w:firstLineChars="200"/>
        <w:rPr>
          <w:rFonts w:ascii="仿宋_GB2312" w:eastAsia="仿宋_GB2312"/>
          <w:color w:val="000000"/>
          <w:sz w:val="30"/>
          <w:szCs w:val="30"/>
        </w:rPr>
      </w:pPr>
      <w:r>
        <w:rPr>
          <w:rFonts w:hint="eastAsia" w:ascii="仿宋_GB2312" w:hAnsi="黑体" w:eastAsia="仿宋_GB2312"/>
          <w:sz w:val="32"/>
          <w:szCs w:val="32"/>
        </w:rPr>
        <w:t>上市公司触及本规则规定的退市情形，导致其股票存在被终止上市风险的，本所对该公司股票启动退市程序。</w:t>
      </w:r>
    </w:p>
    <w:p>
      <w:pPr>
        <w:numPr>
          <w:ilvl w:val="2"/>
          <w:numId w:val="45"/>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上市公司出现财务状况异常情况或者其他异常情况，导致其股票存在被强制终止上市的风险，或者投资者难以判断公司前景，投资者权益可能受到损害，存在其他重大风险的，本所对该公司股票实施风险警示。</w:t>
      </w:r>
    </w:p>
    <w:p>
      <w:pPr>
        <w:numPr>
          <w:ilvl w:val="2"/>
          <w:numId w:val="45"/>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风险警示分为警示存在强制终止上市风险的风险警示（以下简称退市风险警示）和警示存在其他重大风险的其他风险警示。</w:t>
      </w:r>
    </w:p>
    <w:p>
      <w:pPr>
        <w:numPr>
          <w:ilvl w:val="2"/>
          <w:numId w:val="45"/>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上市公司股票被实施退市风险警示的，在公司股票简称前冠以“</w:t>
      </w:r>
      <w:r>
        <w:rPr>
          <w:rFonts w:ascii="仿宋_GB2312" w:hAnsi="黑体" w:eastAsia="仿宋_GB2312"/>
          <w:sz w:val="32"/>
          <w:szCs w:val="32"/>
        </w:rPr>
        <w:t>*ST</w:t>
      </w:r>
      <w:r>
        <w:rPr>
          <w:rFonts w:hint="eastAsia" w:ascii="仿宋_GB2312" w:hAnsi="黑体" w:eastAsia="仿宋_GB2312"/>
          <w:sz w:val="32"/>
          <w:szCs w:val="32"/>
        </w:rPr>
        <w:t>”</w:t>
      </w:r>
      <w:r>
        <w:rPr>
          <w:rFonts w:ascii="仿宋_GB2312" w:hAnsi="黑体" w:eastAsia="仿宋_GB2312"/>
          <w:sz w:val="32"/>
          <w:szCs w:val="32"/>
        </w:rPr>
        <w:t>字样</w:t>
      </w:r>
      <w:r>
        <w:rPr>
          <w:rFonts w:hint="eastAsia" w:ascii="仿宋_GB2312" w:hAnsi="黑体" w:eastAsia="仿宋_GB2312"/>
          <w:sz w:val="32"/>
          <w:szCs w:val="32"/>
        </w:rPr>
        <w:t>；上市公司股票被实施其他风险警示的，在公司股票简称前冠以“ST”字样。</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公司股票同时被实施退市风险警示和其他风险警示的，在公司股票简称前冠以“*ST”字样。</w:t>
      </w:r>
    </w:p>
    <w:p>
      <w:pPr>
        <w:tabs>
          <w:tab w:val="left" w:pos="1560"/>
          <w:tab w:val="left" w:pos="1843"/>
          <w:tab w:val="left" w:pos="1985"/>
          <w:tab w:val="left" w:pos="2127"/>
        </w:tabs>
        <w:snapToGrid w:val="0"/>
        <w:spacing w:line="560" w:lineRule="exact"/>
        <w:ind w:firstLine="64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上市公司股票被实施风险警示的，投资者当日通过竞价交易、大宗交易和盘后固定价格交易累计买入的单只风险警示股票，数量不得超过50万股。投资者当日累计买入风险警示股票数量，按照该投资者以本人名义开立的证券账户与融资融券信用证券账户的买入量合并计算；投资者委托买入数量与当日已买入数量及已申报买入但尚未成交、也未撤销的数量之和，不得超过50万股。上市公司回购股份、持股5%以上股东根据已披露的增持计划增持股份可不受前述50万股买入限制。</w:t>
      </w:r>
    </w:p>
    <w:p>
      <w:pPr>
        <w:tabs>
          <w:tab w:val="left" w:pos="1560"/>
          <w:tab w:val="left" w:pos="1843"/>
          <w:tab w:val="left" w:pos="1985"/>
          <w:tab w:val="left" w:pos="2127"/>
        </w:tabs>
        <w:snapToGrid w:val="0"/>
        <w:spacing w:line="560" w:lineRule="exact"/>
        <w:ind w:firstLine="64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红筹企业发行存托凭证的，前款规定的50万股调整为50万份。</w:t>
      </w:r>
    </w:p>
    <w:p>
      <w:pPr>
        <w:numPr>
          <w:ilvl w:val="2"/>
          <w:numId w:val="45"/>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上市公司应当按照本章规定和要求履行信息披露和办理停复牌等义务。公司未按照本章规定履行信息披露义务的，本所知悉有关情况后可以对其股票实施停复牌、风险警示或终止上市等，并向市场公告。</w:t>
      </w:r>
    </w:p>
    <w:p>
      <w:pPr>
        <w:numPr>
          <w:ilvl w:val="2"/>
          <w:numId w:val="45"/>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上市公司存在股票被实施风险警示或者股票终止上市风险的，应当按照本章相关规定披露风险提示公告。</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本所可以视情况要求公司增加风险提示公告的披露次数。</w:t>
      </w:r>
    </w:p>
    <w:p>
      <w:pPr>
        <w:numPr>
          <w:ilvl w:val="2"/>
          <w:numId w:val="45"/>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出现股票被实施风险警示情形的，应当按照本章要求披露公司股票被实施风险警示的公告，公告应当包括实施风险警示的起始日、触及情形、实施风险警示的主要原因、董事会关于争取撤销风险警示的意见及具体措施、股票可能被终止上市的风险提示（如适用）、实施风险警示期间公司接受投资者咨询的主要方式以及本所要求的其他内容。</w:t>
      </w:r>
    </w:p>
    <w:p>
      <w:pPr>
        <w:numPr>
          <w:ilvl w:val="2"/>
          <w:numId w:val="45"/>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上市公司申请撤销风险警示的，应当向本所提交申请书、董事会决议、符合撤销风险警示条件的说明及相应证明材料等文件。</w:t>
      </w:r>
    </w:p>
    <w:p>
      <w:pPr>
        <w:numPr>
          <w:ilvl w:val="2"/>
          <w:numId w:val="45"/>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在作出是否撤销风险警示、终止股票上市决定、撤销对公司股票终止上市的决定前，可以要求上市公司提供补充材料，公司应当在本所要求期限内提供补充材料，公司提供补充材料期间不计入本所作出相关决定的期限。</w:t>
      </w:r>
    </w:p>
    <w:p>
      <w:pPr>
        <w:tabs>
          <w:tab w:val="left" w:pos="108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公司未在本所要求期限内提交补充材料的，本所继续对相关事项进行审核，并按照本规则作出相关决定。</w:t>
      </w:r>
    </w:p>
    <w:p>
      <w:pPr>
        <w:tabs>
          <w:tab w:val="left" w:pos="108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在作出是否撤销风险警示、终止股票上市决定、撤销对公司股票终止上市的决定前，可以自行或委托相关机构就公司有关情况进行调查核实，并将核查结果提交上市委员会审议。调查核实期间不计入本所作出有关决定的期限。</w:t>
      </w:r>
    </w:p>
    <w:p>
      <w:pPr>
        <w:numPr>
          <w:ilvl w:val="2"/>
          <w:numId w:val="45"/>
        </w:numPr>
        <w:tabs>
          <w:tab w:val="left" w:pos="1560"/>
          <w:tab w:val="left" w:pos="1843"/>
          <w:tab w:val="left" w:pos="1985"/>
          <w:tab w:val="left" w:pos="2127"/>
        </w:tabs>
        <w:snapToGrid w:val="0"/>
        <w:spacing w:line="560" w:lineRule="exact"/>
        <w:ind w:left="0" w:firstLine="640" w:firstLineChars="200"/>
        <w:rPr>
          <w:rFonts w:ascii="仿宋_GB2312" w:eastAsia="仿宋_GB2312"/>
          <w:color w:val="000000"/>
          <w:sz w:val="30"/>
          <w:szCs w:val="30"/>
        </w:rPr>
      </w:pPr>
      <w:r>
        <w:rPr>
          <w:rFonts w:hint="eastAsia" w:ascii="仿宋_GB2312" w:hAnsi="黑体" w:eastAsia="仿宋_GB2312"/>
          <w:sz w:val="32"/>
          <w:szCs w:val="32"/>
        </w:rPr>
        <w:t xml:space="preserve"> 上市公司出现两项以上风险警示、终止上市情形的，其</w:t>
      </w:r>
      <w:r>
        <w:rPr>
          <w:rFonts w:ascii="仿宋_GB2312" w:hAnsi="黑体" w:eastAsia="仿宋_GB2312"/>
          <w:sz w:val="32"/>
          <w:szCs w:val="32"/>
        </w:rPr>
        <w:t>股票</w:t>
      </w:r>
      <w:r>
        <w:rPr>
          <w:rFonts w:hint="eastAsia" w:ascii="仿宋_GB2312" w:hAnsi="黑体" w:eastAsia="仿宋_GB2312"/>
          <w:sz w:val="32"/>
          <w:szCs w:val="32"/>
        </w:rPr>
        <w:t>按照先触及先适用的原则实施风险警示、终止上市。</w:t>
      </w:r>
    </w:p>
    <w:p>
      <w:pPr>
        <w:tabs>
          <w:tab w:val="left" w:pos="1080"/>
        </w:tabs>
        <w:snapToGrid w:val="0"/>
        <w:spacing w:line="560" w:lineRule="exact"/>
        <w:ind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上市公司同时存在两项以上退市风险警示情形的，</w:t>
      </w:r>
      <w:r>
        <w:rPr>
          <w:rFonts w:hint="eastAsia" w:ascii="仿宋_GB2312" w:hAnsi="黑体" w:eastAsia="仿宋_GB2312"/>
          <w:sz w:val="32"/>
          <w:szCs w:val="32"/>
        </w:rPr>
        <w:t>已满足其中一项退市风险警示撤销条件的，应当在规定期限内申请撤销相关情形对应的退市风险警示，经本所审核同意的，不再适用该情形对应的终止上市程序。</w:t>
      </w:r>
    </w:p>
    <w:p>
      <w:pPr>
        <w:tabs>
          <w:tab w:val="left" w:pos="108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公司同时存在两项以上风险警示情形的，须满足全部风险警示情形的撤销条件，方可撤销风险警示。</w:t>
      </w:r>
    </w:p>
    <w:p>
      <w:pPr>
        <w:tabs>
          <w:tab w:val="left" w:pos="108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公司虽满足撤销退市风险警示条件，但还存在其他风险警示情形的，本所对公司股票实施其他风险警示。</w:t>
      </w:r>
    </w:p>
    <w:p>
      <w:pPr>
        <w:numPr>
          <w:ilvl w:val="2"/>
          <w:numId w:val="45"/>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上市公司股票被终止上市的，其发行的可转换公司债券应当终止上市。</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可转换公司债券终止上市事宜，参照股票终止上市的有关规定执行。</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本所对可转换公司债券的终止上市事宜另有规定的，从其规定。</w:t>
      </w:r>
    </w:p>
    <w:p>
      <w:pPr>
        <w:pStyle w:val="36"/>
      </w:pPr>
      <w:bookmarkStart w:id="616" w:name="_Toc532393273"/>
      <w:bookmarkEnd w:id="616"/>
      <w:bookmarkStart w:id="617" w:name="_Toc532393277"/>
      <w:bookmarkEnd w:id="617"/>
      <w:bookmarkStart w:id="618" w:name="_Toc532393267"/>
      <w:bookmarkEnd w:id="618"/>
      <w:bookmarkStart w:id="619" w:name="_Toc532393470"/>
      <w:bookmarkEnd w:id="619"/>
      <w:bookmarkStart w:id="620" w:name="_Toc532393262"/>
      <w:bookmarkEnd w:id="620"/>
      <w:bookmarkStart w:id="621" w:name="_Toc532393263"/>
      <w:bookmarkEnd w:id="621"/>
      <w:bookmarkStart w:id="622" w:name="_Toc532393474"/>
      <w:bookmarkEnd w:id="622"/>
      <w:bookmarkStart w:id="623" w:name="_Toc532393256"/>
      <w:bookmarkEnd w:id="623"/>
      <w:bookmarkStart w:id="624" w:name="_Toc532393483"/>
      <w:bookmarkEnd w:id="624"/>
      <w:bookmarkStart w:id="625" w:name="_Toc532393471"/>
      <w:bookmarkEnd w:id="625"/>
      <w:bookmarkStart w:id="626" w:name="_Toc532393462"/>
      <w:bookmarkEnd w:id="626"/>
      <w:bookmarkStart w:id="627" w:name="_Toc532393472"/>
      <w:bookmarkEnd w:id="627"/>
      <w:bookmarkStart w:id="628" w:name="_Toc532393481"/>
      <w:bookmarkEnd w:id="628"/>
      <w:bookmarkStart w:id="629" w:name="_Toc532393476"/>
      <w:bookmarkEnd w:id="629"/>
      <w:bookmarkStart w:id="630" w:name="_Toc532393469"/>
      <w:bookmarkEnd w:id="630"/>
      <w:bookmarkStart w:id="631" w:name="_Toc532393269"/>
      <w:bookmarkEnd w:id="631"/>
      <w:bookmarkStart w:id="632" w:name="_Toc532393475"/>
      <w:bookmarkEnd w:id="632"/>
      <w:bookmarkStart w:id="633" w:name="_Toc532393276"/>
      <w:bookmarkEnd w:id="633"/>
      <w:bookmarkStart w:id="634" w:name="_Toc532393266"/>
      <w:bookmarkEnd w:id="634"/>
      <w:bookmarkStart w:id="635" w:name="_Toc532393270"/>
      <w:bookmarkEnd w:id="635"/>
      <w:bookmarkStart w:id="636" w:name="_Toc532393466"/>
      <w:bookmarkEnd w:id="636"/>
      <w:bookmarkStart w:id="637" w:name="_Toc532393268"/>
      <w:bookmarkEnd w:id="637"/>
      <w:bookmarkStart w:id="638" w:name="_Toc532393255"/>
      <w:bookmarkEnd w:id="638"/>
      <w:bookmarkStart w:id="639" w:name="_Toc532393463"/>
      <w:bookmarkEnd w:id="639"/>
      <w:bookmarkStart w:id="640" w:name="_Toc532393479"/>
      <w:bookmarkEnd w:id="640"/>
      <w:bookmarkStart w:id="641" w:name="_Toc532393460"/>
      <w:bookmarkEnd w:id="641"/>
      <w:bookmarkStart w:id="642" w:name="_Toc532393260"/>
      <w:bookmarkEnd w:id="642"/>
      <w:bookmarkStart w:id="643" w:name="_Toc532393468"/>
      <w:bookmarkEnd w:id="643"/>
      <w:bookmarkStart w:id="644" w:name="_Toc532393464"/>
      <w:bookmarkEnd w:id="644"/>
      <w:bookmarkStart w:id="645" w:name="_Toc532393274"/>
      <w:bookmarkEnd w:id="645"/>
      <w:bookmarkStart w:id="646" w:name="_Toc532393272"/>
      <w:bookmarkEnd w:id="646"/>
      <w:bookmarkStart w:id="647" w:name="_Toc532393477"/>
      <w:bookmarkEnd w:id="647"/>
      <w:bookmarkStart w:id="648" w:name="_Toc532393480"/>
      <w:bookmarkEnd w:id="648"/>
      <w:bookmarkStart w:id="649" w:name="_Toc532393264"/>
      <w:bookmarkEnd w:id="649"/>
      <w:bookmarkStart w:id="650" w:name="_Toc532393467"/>
      <w:bookmarkEnd w:id="650"/>
      <w:bookmarkStart w:id="651" w:name="_Toc532393478"/>
      <w:bookmarkEnd w:id="651"/>
      <w:bookmarkStart w:id="652" w:name="_Toc532393261"/>
      <w:bookmarkEnd w:id="652"/>
      <w:bookmarkStart w:id="653" w:name="_Toc532393254"/>
      <w:bookmarkEnd w:id="653"/>
      <w:bookmarkStart w:id="654" w:name="_Toc532393465"/>
      <w:bookmarkEnd w:id="654"/>
      <w:bookmarkStart w:id="655" w:name="_Toc532393271"/>
      <w:bookmarkEnd w:id="655"/>
      <w:bookmarkStart w:id="656" w:name="_Toc532393265"/>
      <w:bookmarkEnd w:id="656"/>
      <w:bookmarkStart w:id="657" w:name="_Toc532393275"/>
      <w:bookmarkEnd w:id="657"/>
      <w:bookmarkStart w:id="658" w:name="_Toc532393473"/>
      <w:bookmarkEnd w:id="658"/>
      <w:bookmarkStart w:id="659" w:name="_Toc532393461"/>
      <w:bookmarkEnd w:id="659"/>
      <w:bookmarkStart w:id="660" w:name="_Toc532393258"/>
      <w:bookmarkEnd w:id="660"/>
      <w:bookmarkStart w:id="661" w:name="_Toc532393257"/>
      <w:bookmarkEnd w:id="661"/>
      <w:bookmarkStart w:id="662" w:name="_Toc532393259"/>
      <w:bookmarkEnd w:id="662"/>
      <w:bookmarkStart w:id="663" w:name="_Toc532393482"/>
      <w:bookmarkEnd w:id="663"/>
      <w:bookmarkStart w:id="664" w:name="_Toc10610"/>
      <w:r>
        <w:rPr>
          <w:rFonts w:hint="eastAsia"/>
        </w:rPr>
        <w:t>第二节  重大违法强制退市</w:t>
      </w:r>
      <w:bookmarkEnd w:id="664"/>
    </w:p>
    <w:p>
      <w:pPr>
        <w:numPr>
          <w:ilvl w:val="2"/>
          <w:numId w:val="46"/>
        </w:numPr>
        <w:tabs>
          <w:tab w:val="left" w:pos="1560"/>
          <w:tab w:val="left" w:pos="1843"/>
          <w:tab w:val="left" w:pos="1985"/>
          <w:tab w:val="left" w:pos="2127"/>
          <w:tab w:val="clear" w:pos="1844"/>
        </w:tabs>
        <w:snapToGrid w:val="0"/>
        <w:spacing w:line="560" w:lineRule="exact"/>
        <w:ind w:left="0" w:firstLine="640"/>
        <w:rPr>
          <w:rFonts w:ascii="仿宋_GB2312" w:hAnsi="黑体" w:eastAsia="仿宋_GB2312"/>
          <w:sz w:val="32"/>
          <w:szCs w:val="32"/>
        </w:rPr>
      </w:pPr>
      <w:r>
        <w:rPr>
          <w:rFonts w:hint="eastAsia" w:ascii="仿宋_GB2312" w:hAnsi="黑体" w:eastAsia="仿宋_GB2312"/>
          <w:sz w:val="32"/>
          <w:szCs w:val="32"/>
        </w:rPr>
        <w:t>本规则所称重大违法强制退市，包括下列情形：</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（一）上市公司存在欺诈发行、重大信息披露违法或者其他严重损害证券市场秩序的重大违法行为，且严重影响上市地位，其股票应当被终止上市的情形；</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（二）上市公司存在涉及国家安全、公共安全、生态安全、生产安全和公众健康安全等领域的违法行为，情节恶劣，严重损害国家利益、社会公共利益，或者严重影响上市地位，其股票应当被终止上市的情形。</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上市公司涉及第12.2.1条第一项规定的重大违法行为，存在下列情形之一的，其股票应当被终止上市：</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上市公司首次公开发行股票，申请或者披露文件存在虚假记载、误导性陈述或重大遗漏，被中国证监会依据《证券法》第一百八十一条作出行政处罚决定，或者被人民法院依据《刑法》第一百六十条作出有罪生效判决。</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上市公司发行股份购买资产并构成重组上市，申请或者披露文件存在虚假记载、误导性陈述或者重大遗漏，被中国证监会依据《证券法》第一百八十一条作出行政处罚决定，或者被人民法院依据《刑法》第一百六十条作出有罪生效判决。</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上市公司披露的年度报告存在虚假记载、误导性陈述或者重大遗漏，根据中国证监会行政处罚决定载明的事实，导致2019年度至2024年度内的任意连续会计年度财务类指标已实际触及相应年度的终止上市情形；或者导致2024年度及以后年度的任意连续会计年度财务类指标已实际触及本章第四节规定的终止上市情形。</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根据中国证监会行政处罚决定载明的事实，公司披露的营业收入、利润总额或者净利润任一年度虚假记载金额达到2亿元以上，且超过该年度披露的相应科目金额绝对值的30%；或者资产负债表中资产和负债科目任一年度虚假记载金额合计达到2亿元以上，且超过该年度披露的年度期末净资产金额绝对值的30%（计算资产负债表中资产和负债科目虚假记载金额合计数时，虚增和虚减金额合计计算；本项情形适用于2024年度及以后年度的虚假记载行为）。</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根据中国证监会行政处罚决定载明的事实，公司披露的营业收入、利润总额或者净利润连续2年虚假记载金额合计达到3亿元以上，且超过该2年披露的相应科目合计金额的20%；或者公司披露的资产负债表中资产和负债科目连续2年虚假记载金额合计达到3亿元以上，且超过该2年披露的年度期末净资产合计金额的20%（计算前述合计数时，相关财务数据为负值的，先取其绝对值再合计计算；计算资产负债表中资产和负债科目虚假记载金额合计数时，虚增和虚减金额合计计算；本项情形适用于2024年度及以后年度的虚假记载行为）。</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 xml:space="preserve">（六）根据中国证监会行政处罚决定载明的事实，公司披露的年度报告财务指标连续3年存在虚假记载，前述财务指标包括营业收入、利润总额、净利润、资产负债表中的资产或者负债科目（本项情形适用于2020年度及以后年度的虚假记载行为）。 </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七）根据中国证监会行政处罚决定载明的事实，公司披露的营业收入连续2年均存在虚假记载，虚假记载的营业收入金额合计达到5亿元以上，且超过该2年披露的年度营业收入合计金额的50%；或者公司披露的净利润连续2年均存在虚假记载，虚假记载的净利润金额合计达到5亿元以上，且超过该2年披露的年度净利润合计金额的50%；或者公司披露的利润总额连续2年均存在虚假记载，虚假记载的利润总额金额合计达到5亿元以上，且超过该2年披露的年度利润总额合计金额的50%；或者公司披露的资产负债表连续2年均存在虚假记载，资产负债表虚假记载金额合计达到5亿元以上，且超过该2年披露的年度期末净资产合计金额的50%（计算前述合计数时，相关财务数据为负值的，则先取其绝对值再合计计算；</w:t>
      </w:r>
      <w:r>
        <w:rPr>
          <w:rFonts w:ascii="仿宋_GB2312" w:hAnsi="黑体" w:eastAsia="仿宋_GB2312"/>
          <w:sz w:val="32"/>
          <w:szCs w:val="32"/>
        </w:rPr>
        <w:t>本</w:t>
      </w:r>
      <w:r>
        <w:rPr>
          <w:rFonts w:hint="eastAsia" w:ascii="仿宋_GB2312" w:hAnsi="黑体" w:eastAsia="仿宋_GB2312"/>
          <w:sz w:val="32"/>
          <w:szCs w:val="32"/>
        </w:rPr>
        <w:t>项情形</w:t>
      </w:r>
      <w:r>
        <w:rPr>
          <w:rFonts w:ascii="仿宋_GB2312" w:hAnsi="黑体" w:eastAsia="仿宋_GB2312"/>
          <w:sz w:val="32"/>
          <w:szCs w:val="32"/>
        </w:rPr>
        <w:t>适用于</w:t>
      </w:r>
      <w:r>
        <w:rPr>
          <w:rFonts w:hint="eastAsia" w:ascii="仿宋_GB2312" w:hAnsi="黑体" w:eastAsia="仿宋_GB2312"/>
          <w:sz w:val="32"/>
          <w:szCs w:val="32"/>
        </w:rPr>
        <w:t>2020年度</w:t>
      </w:r>
      <w:r>
        <w:rPr>
          <w:rFonts w:ascii="仿宋_GB2312" w:hAnsi="黑体" w:eastAsia="仿宋_GB2312"/>
          <w:sz w:val="32"/>
          <w:szCs w:val="32"/>
        </w:rPr>
        <w:t>至</w:t>
      </w:r>
      <w:r>
        <w:rPr>
          <w:rFonts w:hint="eastAsia" w:ascii="仿宋_GB2312" w:hAnsi="黑体" w:eastAsia="仿宋_GB2312"/>
          <w:sz w:val="32"/>
          <w:szCs w:val="32"/>
        </w:rPr>
        <w:t>2024年度）。</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（八）本所根据上市公司违法行为的事实、性质、情节及社会影响等因素认定的其他严重损害证券市场秩序的情形。</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上市公司涉及第12.2.1条第二项规定的重大违法行为，存在下列情形之一的，其股票应当被终止上市：</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（一）上市公司或其主要子公司被依法吊销营业执照、责令关闭或者被撤销；</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（二）上市公司或其主要子公司被依法吊销主营业务生产经营许可证，或者存在丧失继续生产经营法律资格的其他情形；</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（三）本所根据上市公司重大违法行为损害国家利益、社会公共利益的严重程度，结合公司承担法律责任类型、对公司生产经营和上市地位的影响程度等情形，认为公司股票应当终止上市的。</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上市公司可能触及本节规定的重大违法强制退市情形的，应当于知悉相关行政机关行政处罚事先告知书或者人民法院作出司法裁判当日向</w:t>
      </w:r>
      <w:r>
        <w:rPr>
          <w:rFonts w:ascii="仿宋_GB2312" w:hAnsi="黑体" w:eastAsia="仿宋_GB2312"/>
          <w:sz w:val="32"/>
          <w:szCs w:val="32"/>
        </w:rPr>
        <w:t>本所报告</w:t>
      </w:r>
      <w:r>
        <w:rPr>
          <w:rFonts w:hint="eastAsia" w:ascii="仿宋_GB2312" w:hAnsi="黑体" w:eastAsia="仿宋_GB2312"/>
          <w:sz w:val="32"/>
          <w:szCs w:val="32"/>
        </w:rPr>
        <w:t>，及时披露有关内容，就其股票可能被实施重大违法强制退市进行风险提示。公司股票于公告披露日起停牌，公告披露日为非交易日的，于次一交易日起停牌。</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在公司股票停牌之日后5个交易日内，根据实际情况，对公司股票实施退市风险警示。公司应当按照本所要求在其股票被实施退市风险警示之前一个交易日作出公告。公司股票自公告披露日后的次一交易日起复牌。自复牌之日起，本所对公司股票实施退市风险警示。</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上市公司未及时披露的，本所可以在获悉相关情况后对公司股票实施停牌，并向市场公告。</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上市</w:t>
      </w:r>
      <w:r>
        <w:rPr>
          <w:rFonts w:hint="eastAsia" w:ascii="仿宋_GB2312" w:hAnsi="黑体" w:eastAsia="仿宋_GB2312"/>
          <w:sz w:val="32"/>
          <w:szCs w:val="32"/>
        </w:rPr>
        <w:t>公司股票因第一款情形被实施退市风险警示期间，公司应当每5个交易日披露一次相关事项进展，并就公司股票可能被实施重大违法强制退市进行风险提示。</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上市公司在股票被实施退市风险警示期间，收到相关行政机关相应行政处罚决定或者人民法院生效司法裁判，未触及本节规定的重大违法强制退市情形，应当及时披露。</w:t>
      </w:r>
      <w:r>
        <w:rPr>
          <w:rFonts w:hint="eastAsia" w:ascii="仿宋_GB2312" w:hAnsi="Arial Unicode MS" w:eastAsia="仿宋_GB2312" w:cs="Arial Unicode MS"/>
          <w:color w:val="000000"/>
          <w:sz w:val="32"/>
          <w:szCs w:val="32"/>
        </w:rPr>
        <w:t>公司股票在公告披露日停牌一天，公告披露日为非交易日的，于披露日次一交易日停牌一天。本所自复牌之日起撤销对公司股票实施的退市风险警示。</w:t>
      </w:r>
    </w:p>
    <w:p>
      <w:pPr>
        <w:tabs>
          <w:tab w:val="left" w:pos="1560"/>
          <w:tab w:val="left" w:pos="1985"/>
          <w:tab w:val="left" w:pos="2127"/>
        </w:tabs>
        <w:snapToGrid w:val="0"/>
        <w:spacing w:line="560" w:lineRule="exact"/>
        <w:ind w:firstLine="640"/>
        <w:rPr>
          <w:rFonts w:ascii="仿宋_GB2312" w:hAnsi="黑体" w:eastAsia="仿宋_GB2312"/>
          <w:sz w:val="32"/>
          <w:szCs w:val="32"/>
        </w:rPr>
      </w:pPr>
      <w:r>
        <w:rPr>
          <w:rFonts w:hint="eastAsia" w:ascii="仿宋_GB2312" w:hAnsi="黑体" w:eastAsia="仿宋_GB2312"/>
          <w:sz w:val="32"/>
          <w:szCs w:val="32"/>
        </w:rPr>
        <w:t>上市公司虽满足本条规定的退市风险警示的撤销条件，但具有其他退市风险警示情形的，按其他退市风险警示的程序执行，不予撤销退市风险警示。</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在股票被实施退市风险警示期间，收到相关行政机关相应行政处罚决定或者人民法院生效司法裁判，可能触及本节规定的重大违法强制退市情形的，应当及时披露有关内容，就其股票可能被实施重大违法强制退市进行风险提示。公司股票自公告披露日起停牌。披露日为非交易日的，自披露日次一交易日起停牌。</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上市公司未按本条规定及时披露的，</w:t>
      </w:r>
      <w:r>
        <w:rPr>
          <w:rFonts w:hint="eastAsia" w:ascii="仿宋_GB2312" w:hAnsi="Arial Unicode MS" w:eastAsia="仿宋_GB2312" w:cs="Arial Unicode MS"/>
          <w:color w:val="000000"/>
          <w:sz w:val="32"/>
          <w:szCs w:val="32"/>
        </w:rPr>
        <w:t>本所可以在获悉相关情况后对公司股票实施停牌，</w:t>
      </w:r>
      <w:r>
        <w:rPr>
          <w:rFonts w:hint="eastAsia" w:ascii="仿宋_GB2312" w:hAnsi="黑体" w:eastAsia="仿宋_GB2312"/>
          <w:sz w:val="32"/>
          <w:szCs w:val="32"/>
        </w:rPr>
        <w:t>并向市场公告。</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本所根据第12.2.6条对</w:t>
      </w:r>
      <w:r>
        <w:rPr>
          <w:rFonts w:hint="eastAsia" w:ascii="仿宋_GB2312" w:hAnsi="Arial Unicode MS" w:eastAsia="仿宋_GB2312" w:cs="Arial Unicode MS"/>
          <w:color w:val="000000"/>
          <w:sz w:val="32"/>
          <w:szCs w:val="32"/>
        </w:rPr>
        <w:t>上市</w:t>
      </w:r>
      <w:r>
        <w:rPr>
          <w:rFonts w:hint="eastAsia" w:ascii="仿宋_GB2312" w:hAnsi="黑体" w:eastAsia="仿宋_GB2312"/>
          <w:sz w:val="32"/>
          <w:szCs w:val="32"/>
        </w:rPr>
        <w:t>公司股票实施停牌的，自停牌之日起的5个交易日内，向公司发出拟终止其股票上市的事先告知书，公司应当及时披露。</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上市公司收到终止上市事先告知书后，可以根据本章第六节的规定提出听证、陈述和申辩。</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本所上市委员会在前款规定的有关期限届满或者听证程序结束后15个交易日内，就是否触及重大违法强制退市情形并终止上市进行审议，作出独立的专业判断并形成审议意见。</w:t>
      </w:r>
    </w:p>
    <w:p>
      <w:pPr>
        <w:tabs>
          <w:tab w:val="left" w:pos="1560"/>
          <w:tab w:val="left" w:pos="1843"/>
          <w:tab w:val="left" w:pos="1985"/>
          <w:tab w:val="left" w:pos="2127"/>
        </w:tabs>
        <w:snapToGrid w:val="0"/>
        <w:spacing w:line="560" w:lineRule="exact"/>
        <w:rPr>
          <w:rFonts w:ascii="仿宋_GB2312" w:hAnsi="黑体" w:eastAsia="仿宋_GB2312"/>
          <w:sz w:val="32"/>
          <w:szCs w:val="32"/>
        </w:rPr>
      </w:pPr>
      <w:r>
        <w:rPr>
          <w:rFonts w:hint="eastAsia" w:ascii="仿宋_GB2312" w:hAnsi="黑体" w:eastAsia="仿宋_GB2312"/>
          <w:sz w:val="32"/>
          <w:szCs w:val="32"/>
        </w:rPr>
        <w:t xml:space="preserve">    本所根据上市委员会的审议意见，作出是否终止股票上市的决定。</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本所决定不对上市公司股票实施终止上市的，公司应当在收到本所相关决定后，及时披露并申请股票复牌。公司股票不存在其他退市风险警示情形的，自复牌之日起，本所撤销对公司股票实施的退市风险警示。</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 xml:space="preserve"> 本所在作出终止股票上市决定之日起2个交易日内，通知上市公司并披露相关公告，同时报中国证监会备案。</w:t>
      </w:r>
    </w:p>
    <w:p>
      <w:pPr>
        <w:tabs>
          <w:tab w:val="left" w:pos="1560"/>
          <w:tab w:val="left" w:pos="1843"/>
          <w:tab w:val="left" w:pos="1985"/>
          <w:tab w:val="left" w:pos="2127"/>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上市</w:t>
      </w:r>
      <w:r>
        <w:rPr>
          <w:rFonts w:hint="eastAsia" w:ascii="仿宋_GB2312" w:hAnsi="黑体" w:eastAsia="仿宋_GB2312"/>
          <w:sz w:val="32"/>
          <w:szCs w:val="32"/>
        </w:rPr>
        <w:t>公司应当在收到本所关于终止其股票上市决定后，及时披露股票终止上市公告。</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上市</w:t>
      </w:r>
      <w:r>
        <w:rPr>
          <w:rFonts w:hint="eastAsia" w:ascii="仿宋_GB2312" w:hAnsi="黑体" w:eastAsia="仿宋_GB2312"/>
          <w:sz w:val="32"/>
          <w:szCs w:val="32"/>
        </w:rPr>
        <w:t>公司可以按照本章第六节的规定申请复核。</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仿宋" w:eastAsia="仿宋_GB2312" w:cs="Arial"/>
          <w:sz w:val="32"/>
          <w:szCs w:val="32"/>
        </w:rPr>
      </w:pPr>
      <w:r>
        <w:rPr>
          <w:rFonts w:hint="eastAsia" w:ascii="仿宋_GB2312" w:hAnsi="仿宋" w:eastAsia="仿宋_GB2312" w:cs="Arial"/>
          <w:sz w:val="32"/>
          <w:szCs w:val="32"/>
        </w:rPr>
        <w:t>上市公司因重大违法强制退市情形，其股票被终止上市后，作为上市公司重大违法强制退市认定依据的行政处罚决定、司法裁判被依法撤销、确认无效或者因对违法行为性质、违法事实等的认定发生重大变化被依法变更的，公司可以在知道相关行政机关决定或者人民法院生效司法裁判后的10个交易日内，向本所申请撤销对公司股票作出的终止上市决定。</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仿宋" w:eastAsia="仿宋_GB2312" w:cs="Arial"/>
          <w:sz w:val="32"/>
          <w:szCs w:val="32"/>
        </w:rPr>
      </w:pPr>
      <w:r>
        <w:rPr>
          <w:rFonts w:hint="eastAsia" w:ascii="仿宋_GB2312" w:hAnsi="仿宋" w:eastAsia="仿宋_GB2312" w:cs="Arial"/>
          <w:sz w:val="32"/>
          <w:szCs w:val="32"/>
        </w:rPr>
        <w:t>本所自收到上市公司按照前条规定提出的撤销申请之日起的15个交易日内，召开上市委员会会议，根据</w:t>
      </w:r>
      <w:r>
        <w:rPr>
          <w:rFonts w:hint="eastAsia" w:ascii="仿宋_GB2312" w:hAnsi="黑体" w:eastAsia="仿宋_GB2312"/>
          <w:sz w:val="32"/>
          <w:szCs w:val="32"/>
        </w:rPr>
        <w:t>相关行政机关</w:t>
      </w:r>
      <w:r>
        <w:rPr>
          <w:rFonts w:hint="eastAsia" w:ascii="仿宋_GB2312" w:hAnsi="仿宋" w:eastAsia="仿宋_GB2312" w:cs="Arial"/>
          <w:sz w:val="32"/>
          <w:szCs w:val="32"/>
        </w:rPr>
        <w:t>决定或者人民法院生效司法裁判，审议是否撤销对公司股票作出的终止上市决定，并形成审议意见。</w:t>
      </w:r>
    </w:p>
    <w:p>
      <w:pPr>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本所根据上市委员会的审议意见，作出是否撤销对公司股票作出的终止上市决定的决定。</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黑体" w:eastAsia="仿宋_GB2312"/>
          <w:i/>
          <w:sz w:val="32"/>
          <w:szCs w:val="32"/>
        </w:rPr>
      </w:pPr>
      <w:r>
        <w:rPr>
          <w:rFonts w:hint="eastAsia" w:ascii="仿宋_GB2312" w:hAnsi="仿宋" w:eastAsia="仿宋_GB2312" w:cs="Arial"/>
          <w:sz w:val="32"/>
          <w:szCs w:val="32"/>
        </w:rPr>
        <w:t>本所作出撤销终止上市决定的，公司股票相应还原上市地位。公司股票同时具有其他的风险警示或者终止上市情形，本所对其股票实施相应风险警示或者终止上市。</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仿宋" w:eastAsia="仿宋_GB2312" w:cs="Arial"/>
          <w:sz w:val="32"/>
          <w:szCs w:val="32"/>
        </w:rPr>
        <w:t>本所在作出撤销决定之日起2个交易日内，通知公司并披露相关公告，同时报中国证监会备案。</w:t>
      </w:r>
    </w:p>
    <w:p>
      <w:pPr>
        <w:numPr>
          <w:ilvl w:val="2"/>
          <w:numId w:val="46"/>
        </w:numPr>
        <w:tabs>
          <w:tab w:val="left" w:pos="1560"/>
          <w:tab w:val="left" w:pos="1843"/>
          <w:tab w:val="left" w:pos="1985"/>
          <w:tab w:val="left" w:pos="2127"/>
          <w:tab w:val="clear" w:pos="1844"/>
        </w:tabs>
        <w:snapToGrid w:val="0"/>
        <w:spacing w:line="560" w:lineRule="exact"/>
        <w:ind w:left="0" w:firstLine="640" w:firstLineChars="200"/>
        <w:rPr>
          <w:rFonts w:ascii="仿宋_GB2312" w:hAnsi="仿宋" w:eastAsia="仿宋_GB2312" w:cs="Arial"/>
          <w:sz w:val="32"/>
          <w:szCs w:val="32"/>
        </w:rPr>
      </w:pPr>
      <w:r>
        <w:rPr>
          <w:rFonts w:hint="eastAsia" w:ascii="仿宋_GB2312" w:hAnsi="黑体" w:eastAsia="仿宋_GB2312"/>
          <w:sz w:val="32"/>
          <w:szCs w:val="32"/>
        </w:rPr>
        <w:t>公司可以在收到本所撤销决定之日起</w:t>
      </w:r>
      <w:r>
        <w:rPr>
          <w:rFonts w:ascii="仿宋_GB2312" w:hAnsi="黑体" w:eastAsia="仿宋_GB2312"/>
          <w:sz w:val="32"/>
          <w:szCs w:val="32"/>
        </w:rPr>
        <w:t>20个交易日内，向本所申请</w:t>
      </w:r>
      <w:r>
        <w:rPr>
          <w:rFonts w:hint="eastAsia" w:ascii="仿宋_GB2312" w:hAnsi="黑体" w:eastAsia="仿宋_GB2312"/>
          <w:sz w:val="32"/>
          <w:szCs w:val="32"/>
        </w:rPr>
        <w:t>还原</w:t>
      </w:r>
      <w:r>
        <w:rPr>
          <w:rFonts w:ascii="仿宋_GB2312" w:hAnsi="黑体" w:eastAsia="仿宋_GB2312"/>
          <w:sz w:val="32"/>
          <w:szCs w:val="32"/>
        </w:rPr>
        <w:t>上市地位。</w:t>
      </w:r>
      <w:r>
        <w:rPr>
          <w:rFonts w:hint="eastAsia" w:ascii="仿宋_GB2312" w:hAnsi="仿宋" w:eastAsia="仿宋_GB2312" w:cs="Arial"/>
          <w:sz w:val="32"/>
          <w:szCs w:val="32"/>
        </w:rPr>
        <w:t>公司股份已经转入</w:t>
      </w:r>
      <w:r>
        <w:rPr>
          <w:rFonts w:hint="eastAsia" w:ascii="仿宋_GB2312" w:hAnsi="黑体" w:eastAsia="仿宋_GB2312"/>
          <w:sz w:val="32"/>
          <w:szCs w:val="32"/>
        </w:rPr>
        <w:t>全国中小企业股份转让系统等</w:t>
      </w:r>
      <w:r>
        <w:rPr>
          <w:rFonts w:ascii="仿宋_GB2312" w:hAnsi="黑体" w:eastAsia="仿宋_GB2312"/>
          <w:sz w:val="32"/>
          <w:szCs w:val="32"/>
        </w:rPr>
        <w:t>证券交易场所</w:t>
      </w:r>
      <w:r>
        <w:rPr>
          <w:rFonts w:hint="eastAsia" w:ascii="仿宋_GB2312" w:hAnsi="仿宋" w:eastAsia="仿宋_GB2312" w:cs="Arial"/>
          <w:sz w:val="32"/>
          <w:szCs w:val="32"/>
        </w:rPr>
        <w:t>转让的，本所在公司办理完毕其股份的重新确认、登记、托管等相关手续后安排其股票上市交易。</w:t>
      </w:r>
    </w:p>
    <w:p>
      <w:pPr>
        <w:tabs>
          <w:tab w:val="left" w:pos="1560"/>
          <w:tab w:val="left" w:pos="1843"/>
          <w:tab w:val="left" w:pos="1985"/>
          <w:tab w:val="left" w:pos="2127"/>
        </w:tabs>
        <w:snapToGrid w:val="0"/>
        <w:spacing w:line="560" w:lineRule="exact"/>
        <w:ind w:firstLine="640"/>
        <w:rPr>
          <w:rFonts w:ascii="仿宋_GB2312" w:hAnsi="仿宋" w:eastAsia="仿宋_GB2312" w:cs="Arial"/>
          <w:sz w:val="32"/>
          <w:szCs w:val="32"/>
        </w:rPr>
      </w:pPr>
      <w:r>
        <w:rPr>
          <w:rFonts w:hint="eastAsia" w:ascii="仿宋_GB2312" w:hAnsi="仿宋" w:eastAsia="仿宋_GB2312" w:cs="Arial"/>
          <w:sz w:val="32"/>
          <w:szCs w:val="32"/>
        </w:rPr>
        <w:t>公司应当在其股票还原上市地位前与本所重新签订上市协议，明确双方的权利、义务及其他有关事项。公司控股股东、实际控制人、董事、监事和高级管理人员等应当签署并提交相应声明与承诺，其所持股份在公司股票恢复正常交易时的流通或者限售安排，应当按照法律法规、本规则以及本所有关规定执行。</w:t>
      </w:r>
    </w:p>
    <w:p>
      <w:pPr>
        <w:tabs>
          <w:tab w:val="left" w:pos="1560"/>
          <w:tab w:val="left" w:pos="1843"/>
          <w:tab w:val="left" w:pos="1985"/>
          <w:tab w:val="left" w:pos="2127"/>
        </w:tabs>
        <w:snapToGrid w:val="0"/>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公司股票还原上市地位首日不设涨跌幅。</w:t>
      </w:r>
    </w:p>
    <w:p>
      <w:pPr>
        <w:pStyle w:val="36"/>
      </w:pPr>
      <w:bookmarkStart w:id="665" w:name="_Toc21001"/>
      <w:r>
        <w:rPr>
          <w:rFonts w:hint="eastAsia"/>
        </w:rPr>
        <w:t>第三节  交易类强制退市</w:t>
      </w:r>
      <w:bookmarkEnd w:id="665"/>
    </w:p>
    <w:p>
      <w:pPr>
        <w:numPr>
          <w:ilvl w:val="2"/>
          <w:numId w:val="47"/>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上市公司出现下列情形之一的，本所决定终止其股票上市：</w:t>
      </w:r>
    </w:p>
    <w:p>
      <w:pPr>
        <w:pStyle w:val="20"/>
        <w:shd w:val="clear" w:color="auto" w:fill="FFFFFF"/>
        <w:spacing w:before="0" w:beforeAutospacing="0" w:after="0" w:afterAutospacing="0"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Arial Unicode MS" w:eastAsia="仿宋_GB2312" w:cs="Arial Unicode MS"/>
          <w:color w:val="000000"/>
          <w:sz w:val="32"/>
          <w:szCs w:val="32"/>
        </w:rPr>
        <w:t>通过本所交易系统连续120个交易日实现的累计股票成交量低于200万股</w:t>
      </w:r>
      <w:r>
        <w:rPr>
          <w:rFonts w:hint="eastAsia" w:ascii="仿宋_GB2312" w:hAnsi="黑体" w:eastAsia="仿宋_GB2312"/>
          <w:sz w:val="32"/>
          <w:szCs w:val="32"/>
        </w:rPr>
        <w:t>；</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（二）连续20个交易日每日股票收盘价均低于1元；</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（三）连续20个交易日在本所的每日股票收盘市值均低于</w:t>
      </w:r>
      <w:r>
        <w:rPr>
          <w:rFonts w:ascii="仿宋_GB2312" w:hAnsi="黑体" w:eastAsia="仿宋_GB2312"/>
          <w:sz w:val="32"/>
          <w:szCs w:val="32"/>
        </w:rPr>
        <w:t>3</w:t>
      </w:r>
      <w:r>
        <w:rPr>
          <w:rFonts w:hint="eastAsia" w:ascii="仿宋_GB2312" w:hAnsi="黑体" w:eastAsia="仿宋_GB2312"/>
          <w:sz w:val="32"/>
          <w:szCs w:val="32"/>
        </w:rPr>
        <w:t>亿元；</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（四）连续20个交易日每日股东数量均低于4</w:t>
      </w:r>
      <w:r>
        <w:rPr>
          <w:rFonts w:ascii="仿宋_GB2312" w:hAnsi="黑体" w:eastAsia="仿宋_GB2312"/>
          <w:sz w:val="32"/>
          <w:szCs w:val="32"/>
        </w:rPr>
        <w:t>00</w:t>
      </w:r>
      <w:r>
        <w:rPr>
          <w:rFonts w:hint="eastAsia" w:ascii="仿宋_GB2312" w:hAnsi="黑体" w:eastAsia="仿宋_GB2312"/>
          <w:sz w:val="32"/>
          <w:szCs w:val="32"/>
        </w:rPr>
        <w:t>人；</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（五）本所认定的其他情形。</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前款规定的交易日，不包含公司股票停牌日和公司首次公开发行股票上市之日起的20个交易日。</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红筹企业发行存托凭证的，第一款第一项调整为通过本所交易系统连续120个交易日实现的累计存托凭证成交量低于200万份；第一款第二项调整为连续20个交易日每日存托凭证收盘价乘以存托凭证与基础股票转换比例后的数值均低于1元；第一款第三项调整为连续20个交易日每日存托凭证收盘市值均低于</w:t>
      </w:r>
      <w:r>
        <w:rPr>
          <w:rFonts w:ascii="仿宋_GB2312" w:hAnsi="黑体" w:eastAsia="仿宋_GB2312"/>
          <w:sz w:val="32"/>
          <w:szCs w:val="32"/>
        </w:rPr>
        <w:t>3</w:t>
      </w:r>
      <w:r>
        <w:rPr>
          <w:rFonts w:hint="eastAsia" w:ascii="仿宋_GB2312" w:hAnsi="黑体" w:eastAsia="仿宋_GB2312"/>
          <w:sz w:val="32"/>
          <w:szCs w:val="32"/>
        </w:rPr>
        <w:t>亿元；不适用第一款第四项的规定。</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证券市场出现重大异常波动等情形的，本所可以根据实际情况调整本条规定的交易指标。</w:t>
      </w:r>
    </w:p>
    <w:p>
      <w:pPr>
        <w:numPr>
          <w:ilvl w:val="2"/>
          <w:numId w:val="47"/>
        </w:numPr>
        <w:tabs>
          <w:tab w:val="left" w:pos="0"/>
          <w:tab w:val="left" w:pos="1560"/>
          <w:tab w:val="clear" w:pos="1418"/>
        </w:tabs>
        <w:snapToGrid w:val="0"/>
        <w:spacing w:line="560" w:lineRule="exact"/>
        <w:ind w:left="0"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上市公司出现连续</w:t>
      </w:r>
      <w:r>
        <w:rPr>
          <w:rFonts w:ascii="仿宋_GB2312" w:hAnsi="Arial Unicode MS" w:eastAsia="仿宋_GB2312" w:cs="Arial Unicode MS"/>
          <w:color w:val="000000"/>
          <w:sz w:val="32"/>
          <w:szCs w:val="32"/>
        </w:rPr>
        <w:t>90个交易</w:t>
      </w:r>
      <w:r>
        <w:rPr>
          <w:rFonts w:hint="eastAsia" w:ascii="仿宋_GB2312" w:hAnsi="Arial Unicode MS" w:eastAsia="仿宋_GB2312" w:cs="Arial Unicode MS"/>
          <w:color w:val="000000"/>
          <w:sz w:val="32"/>
          <w:szCs w:val="32"/>
        </w:rPr>
        <w:t>日通过本所交易系统实现的累计股票成交量低于150</w:t>
      </w:r>
      <w:r>
        <w:rPr>
          <w:rFonts w:ascii="仿宋_GB2312" w:hAnsi="Arial Unicode MS" w:eastAsia="仿宋_GB2312" w:cs="Arial Unicode MS"/>
          <w:color w:val="000000"/>
          <w:sz w:val="32"/>
          <w:szCs w:val="32"/>
        </w:rPr>
        <w:t>万股的，应</w:t>
      </w:r>
      <w:r>
        <w:rPr>
          <w:rFonts w:hint="eastAsia" w:ascii="仿宋_GB2312" w:hAnsi="Arial Unicode MS" w:eastAsia="仿宋_GB2312" w:cs="Arial Unicode MS"/>
          <w:color w:val="000000"/>
          <w:sz w:val="32"/>
          <w:szCs w:val="32"/>
        </w:rPr>
        <w:t>当</w:t>
      </w:r>
      <w:r>
        <w:rPr>
          <w:rFonts w:ascii="仿宋_GB2312" w:hAnsi="Arial Unicode MS" w:eastAsia="仿宋_GB2312" w:cs="Arial Unicode MS"/>
          <w:color w:val="000000"/>
          <w:sz w:val="32"/>
          <w:szCs w:val="32"/>
        </w:rPr>
        <w:t>在</w:t>
      </w:r>
      <w:r>
        <w:rPr>
          <w:rFonts w:hint="eastAsia" w:ascii="仿宋_GB2312" w:hAnsi="Arial Unicode MS" w:eastAsia="仿宋_GB2312" w:cs="Arial Unicode MS"/>
          <w:color w:val="000000"/>
          <w:sz w:val="32"/>
          <w:szCs w:val="32"/>
        </w:rPr>
        <w:t>次</w:t>
      </w:r>
      <w:r>
        <w:rPr>
          <w:rFonts w:ascii="仿宋_GB2312" w:hAnsi="Arial Unicode MS" w:eastAsia="仿宋_GB2312" w:cs="Arial Unicode MS"/>
          <w:color w:val="000000"/>
          <w:sz w:val="32"/>
          <w:szCs w:val="32"/>
        </w:rPr>
        <w:t>一交易日</w:t>
      </w:r>
      <w:r>
        <w:rPr>
          <w:rFonts w:hint="eastAsia" w:ascii="仿宋_GB2312" w:hAnsi="Arial Unicode MS" w:eastAsia="仿宋_GB2312" w:cs="Arial Unicode MS"/>
          <w:color w:val="000000"/>
          <w:sz w:val="32"/>
          <w:szCs w:val="32"/>
        </w:rPr>
        <w:t>披露</w:t>
      </w:r>
      <w:r>
        <w:rPr>
          <w:rFonts w:ascii="仿宋_GB2312" w:hAnsi="Arial Unicode MS" w:eastAsia="仿宋_GB2312" w:cs="Arial Unicode MS"/>
          <w:color w:val="000000"/>
          <w:sz w:val="32"/>
          <w:szCs w:val="32"/>
        </w:rPr>
        <w:t>公司股票可能被终止上市的风险提示公告，其后每个交易日披露一次，直至自上述起算时点起连续120个交易日内通过本所交易系统实现的累计成交量</w:t>
      </w:r>
      <w:r>
        <w:rPr>
          <w:rFonts w:hint="eastAsia" w:ascii="仿宋_GB2312" w:hAnsi="Arial Unicode MS" w:eastAsia="仿宋_GB2312" w:cs="Arial Unicode MS"/>
          <w:color w:val="000000"/>
          <w:sz w:val="32"/>
          <w:szCs w:val="32"/>
        </w:rPr>
        <w:t>达到2</w:t>
      </w:r>
      <w:r>
        <w:rPr>
          <w:rFonts w:ascii="仿宋_GB2312" w:hAnsi="Arial Unicode MS" w:eastAsia="仿宋_GB2312" w:cs="Arial Unicode MS"/>
          <w:color w:val="000000"/>
          <w:sz w:val="32"/>
          <w:szCs w:val="32"/>
        </w:rPr>
        <w:t>00万股</w:t>
      </w:r>
      <w:r>
        <w:rPr>
          <w:rFonts w:hint="eastAsia" w:ascii="仿宋_GB2312" w:hAnsi="Arial Unicode MS" w:eastAsia="仿宋_GB2312" w:cs="Arial Unicode MS"/>
          <w:color w:val="000000"/>
          <w:sz w:val="32"/>
          <w:szCs w:val="32"/>
        </w:rPr>
        <w:t>以上</w:t>
      </w:r>
      <w:r>
        <w:rPr>
          <w:rFonts w:ascii="仿宋_GB2312" w:hAnsi="Arial Unicode MS" w:eastAsia="仿宋_GB2312" w:cs="Arial Unicode MS"/>
          <w:color w:val="000000"/>
          <w:sz w:val="32"/>
          <w:szCs w:val="32"/>
        </w:rPr>
        <w:t>或</w:t>
      </w:r>
      <w:r>
        <w:rPr>
          <w:rFonts w:hint="eastAsia" w:ascii="仿宋_GB2312" w:hAnsi="Arial Unicode MS" w:eastAsia="仿宋_GB2312" w:cs="Arial Unicode MS"/>
          <w:color w:val="000000"/>
          <w:sz w:val="32"/>
          <w:szCs w:val="32"/>
        </w:rPr>
        <w:t>者出现终止上市情形之日止（以先达到的日期为准）。</w:t>
      </w:r>
    </w:p>
    <w:p>
      <w:pPr>
        <w:tabs>
          <w:tab w:val="left" w:pos="0"/>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在本所发行存托凭证的红筹企业出现连续90个交易日通过本所交易系统实现的累计存托凭证成交量低于150万份的，应当在次一交易日披露公司存托凭证可能被终止上市的风险提示公告，其后每个交易日披露一次，直至自上述起算时点起连续120个交易日内通过本所交易系统实现的累计成交量达到200万份以上或者出现终止上市情形之日止（以先达到的日期为准）。</w:t>
      </w:r>
    </w:p>
    <w:p>
      <w:pPr>
        <w:tabs>
          <w:tab w:val="left" w:pos="0"/>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本所可以根据实际情况，对上述风险提示标准进行调整。</w:t>
      </w:r>
    </w:p>
    <w:p>
      <w:pPr>
        <w:numPr>
          <w:ilvl w:val="2"/>
          <w:numId w:val="47"/>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上市公司首次出现下列情形之一的，应当在次一交易日披露公司股票可能被终止上市的风险提示公告：</w:t>
      </w:r>
    </w:p>
    <w:p>
      <w:pPr>
        <w:numPr>
          <w:ilvl w:val="0"/>
          <w:numId w:val="48"/>
        </w:numPr>
        <w:tabs>
          <w:tab w:val="left" w:pos="0"/>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股票收盘价低于1元；</w:t>
      </w:r>
    </w:p>
    <w:p>
      <w:pPr>
        <w:tabs>
          <w:tab w:val="left" w:pos="0"/>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（二）在本所的股票收盘市值低于</w:t>
      </w:r>
      <w:r>
        <w:rPr>
          <w:rFonts w:ascii="仿宋_GB2312" w:hAnsi="黑体" w:eastAsia="仿宋_GB2312"/>
          <w:sz w:val="32"/>
          <w:szCs w:val="32"/>
        </w:rPr>
        <w:t>3</w:t>
      </w:r>
      <w:r>
        <w:rPr>
          <w:rFonts w:hint="eastAsia" w:ascii="仿宋_GB2312" w:hAnsi="黑体" w:eastAsia="仿宋_GB2312"/>
          <w:sz w:val="32"/>
          <w:szCs w:val="32"/>
        </w:rPr>
        <w:t xml:space="preserve">亿元。 </w:t>
      </w:r>
    </w:p>
    <w:p>
      <w:pPr>
        <w:tabs>
          <w:tab w:val="left" w:pos="0"/>
          <w:tab w:val="left" w:pos="1560"/>
        </w:tabs>
        <w:snapToGrid w:val="0"/>
        <w:spacing w:line="560" w:lineRule="exact"/>
        <w:ind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上市公司连续</w:t>
      </w:r>
      <w:r>
        <w:rPr>
          <w:rFonts w:ascii="仿宋_GB2312" w:hAnsi="Arial Unicode MS" w:eastAsia="仿宋_GB2312" w:cs="Arial Unicode MS"/>
          <w:color w:val="000000"/>
          <w:sz w:val="32"/>
          <w:szCs w:val="32"/>
        </w:rPr>
        <w:t>10个交易日出现下列情形之一的，应当在</w:t>
      </w:r>
      <w:r>
        <w:rPr>
          <w:rFonts w:hint="eastAsia" w:ascii="仿宋_GB2312" w:hAnsi="Arial Unicode MS" w:eastAsia="仿宋_GB2312" w:cs="Arial Unicode MS"/>
          <w:color w:val="000000"/>
          <w:sz w:val="32"/>
          <w:szCs w:val="32"/>
        </w:rPr>
        <w:t>次</w:t>
      </w:r>
      <w:r>
        <w:rPr>
          <w:rFonts w:ascii="仿宋_GB2312" w:hAnsi="Arial Unicode MS" w:eastAsia="仿宋_GB2312" w:cs="Arial Unicode MS"/>
          <w:color w:val="000000"/>
          <w:sz w:val="32"/>
          <w:szCs w:val="32"/>
        </w:rPr>
        <w:t>一交易日</w:t>
      </w:r>
      <w:r>
        <w:rPr>
          <w:rFonts w:hint="eastAsia" w:ascii="仿宋_GB2312" w:hAnsi="Arial Unicode MS" w:eastAsia="仿宋_GB2312" w:cs="Arial Unicode MS"/>
          <w:color w:val="000000"/>
          <w:sz w:val="32"/>
          <w:szCs w:val="32"/>
        </w:rPr>
        <w:t>披露</w:t>
      </w:r>
      <w:r>
        <w:rPr>
          <w:rFonts w:ascii="仿宋_GB2312" w:hAnsi="Arial Unicode MS" w:eastAsia="仿宋_GB2312" w:cs="Arial Unicode MS"/>
          <w:color w:val="000000"/>
          <w:sz w:val="32"/>
          <w:szCs w:val="32"/>
        </w:rPr>
        <w:t>公司股票可能被终止上市的风险提示公告，其后每个交易日披露一次，直至相应的情形消除或者</w:t>
      </w:r>
      <w:r>
        <w:rPr>
          <w:rFonts w:hint="eastAsia" w:ascii="仿宋_GB2312" w:hAnsi="Arial Unicode MS" w:eastAsia="仿宋_GB2312" w:cs="Arial Unicode MS"/>
          <w:color w:val="000000"/>
          <w:sz w:val="32"/>
          <w:szCs w:val="32"/>
        </w:rPr>
        <w:t>出现终止上市情形之日止</w:t>
      </w:r>
      <w:r>
        <w:rPr>
          <w:rFonts w:ascii="仿宋_GB2312" w:hAnsi="Arial Unicode MS" w:eastAsia="仿宋_GB2312" w:cs="Arial Unicode MS"/>
          <w:color w:val="000000"/>
          <w:sz w:val="32"/>
          <w:szCs w:val="32"/>
        </w:rPr>
        <w:t>（以先达到的日期为准）：</w:t>
      </w:r>
    </w:p>
    <w:p>
      <w:pPr>
        <w:tabs>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（一）每日股票收盘价均低于</w:t>
      </w:r>
      <w:r>
        <w:rPr>
          <w:rFonts w:hint="eastAsia" w:ascii="仿宋_GB2312" w:hAnsi="黑体" w:eastAsia="仿宋_GB2312"/>
          <w:sz w:val="32"/>
          <w:szCs w:val="32"/>
        </w:rPr>
        <w:t>1元</w:t>
      </w:r>
      <w:r>
        <w:rPr>
          <w:rFonts w:hint="eastAsia" w:ascii="仿宋_GB2312" w:hAnsi="Arial Unicode MS" w:eastAsia="仿宋_GB2312" w:cs="Arial Unicode MS"/>
          <w:color w:val="000000"/>
          <w:sz w:val="32"/>
          <w:szCs w:val="32"/>
        </w:rPr>
        <w:t>；</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（二）在本所的每日股票收盘市值均低于</w:t>
      </w:r>
      <w:r>
        <w:rPr>
          <w:rFonts w:ascii="仿宋_GB2312" w:hAnsi="黑体" w:eastAsia="仿宋_GB2312"/>
          <w:sz w:val="32"/>
          <w:szCs w:val="32"/>
        </w:rPr>
        <w:t>3亿元；</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（三）每日股东数量均低于4</w:t>
      </w:r>
      <w:r>
        <w:rPr>
          <w:rFonts w:ascii="仿宋_GB2312" w:hAnsi="黑体" w:eastAsia="仿宋_GB2312"/>
          <w:sz w:val="32"/>
          <w:szCs w:val="32"/>
        </w:rPr>
        <w:t>00</w:t>
      </w:r>
      <w:r>
        <w:rPr>
          <w:rFonts w:hint="eastAsia" w:ascii="仿宋_GB2312" w:hAnsi="黑体" w:eastAsia="仿宋_GB2312"/>
          <w:sz w:val="32"/>
          <w:szCs w:val="32"/>
        </w:rPr>
        <w:t>人。</w:t>
      </w:r>
    </w:p>
    <w:p>
      <w:pPr>
        <w:tabs>
          <w:tab w:val="left" w:pos="0"/>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红筹企业发行存托凭证的，第一款第一项和第二款第一项调整为每日存托凭证收盘价乘以存托凭证与基础股票转换比例后的数值低于1元；第一款第二项和第二款第二项调整为在本所的每日存托凭证收盘市值低于</w:t>
      </w:r>
      <w:r>
        <w:rPr>
          <w:rFonts w:ascii="仿宋_GB2312" w:hAnsi="Arial Unicode MS" w:eastAsia="仿宋_GB2312" w:cs="Arial Unicode MS"/>
          <w:color w:val="000000"/>
          <w:sz w:val="32"/>
          <w:szCs w:val="32"/>
        </w:rPr>
        <w:t>3</w:t>
      </w:r>
      <w:r>
        <w:rPr>
          <w:rFonts w:hint="eastAsia" w:ascii="仿宋_GB2312" w:hAnsi="Arial Unicode MS" w:eastAsia="仿宋_GB2312" w:cs="Arial Unicode MS"/>
          <w:color w:val="000000"/>
          <w:sz w:val="32"/>
          <w:szCs w:val="32"/>
        </w:rPr>
        <w:t>亿元。</w:t>
      </w:r>
    </w:p>
    <w:p>
      <w:pPr>
        <w:tabs>
          <w:tab w:val="left" w:pos="0"/>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本所可以根据实际情况，对上述风险提示标准进行调整。</w:t>
      </w:r>
    </w:p>
    <w:p>
      <w:pPr>
        <w:numPr>
          <w:ilvl w:val="2"/>
          <w:numId w:val="47"/>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上市公司出现第</w:t>
      </w:r>
      <w:r>
        <w:rPr>
          <w:rFonts w:ascii="仿宋_GB2312" w:hAnsi="Arial Unicode MS" w:eastAsia="仿宋_GB2312" w:cs="Arial Unicode MS"/>
          <w:color w:val="000000"/>
          <w:sz w:val="32"/>
          <w:szCs w:val="32"/>
        </w:rPr>
        <w:t>12.3.1条情形之一的，其股票自情形出现的</w:t>
      </w:r>
      <w:r>
        <w:rPr>
          <w:rFonts w:hint="eastAsia" w:ascii="仿宋_GB2312" w:hAnsi="Arial Unicode MS" w:eastAsia="仿宋_GB2312" w:cs="Arial Unicode MS"/>
          <w:color w:val="000000"/>
          <w:sz w:val="32"/>
          <w:szCs w:val="32"/>
        </w:rPr>
        <w:t>次</w:t>
      </w:r>
      <w:r>
        <w:rPr>
          <w:rFonts w:ascii="仿宋_GB2312" w:hAnsi="Arial Unicode MS" w:eastAsia="仿宋_GB2312" w:cs="Arial Unicode MS"/>
          <w:color w:val="000000"/>
          <w:sz w:val="32"/>
          <w:szCs w:val="32"/>
        </w:rPr>
        <w:t>一交易日起停牌</w:t>
      </w:r>
      <w:r>
        <w:rPr>
          <w:rFonts w:hint="eastAsia" w:ascii="仿宋_GB2312" w:hAnsi="Arial Unicode MS" w:eastAsia="仿宋_GB2312" w:cs="Arial Unicode MS"/>
          <w:color w:val="000000"/>
          <w:sz w:val="32"/>
          <w:szCs w:val="32"/>
        </w:rPr>
        <w:t>，并披露公司股票可能被终止上市的风险提示公告</w:t>
      </w:r>
      <w:r>
        <w:rPr>
          <w:rFonts w:ascii="仿宋_GB2312" w:hAnsi="Arial Unicode MS" w:eastAsia="仿宋_GB2312" w:cs="Arial Unicode MS"/>
          <w:color w:val="000000"/>
          <w:sz w:val="32"/>
          <w:szCs w:val="32"/>
        </w:rPr>
        <w:t>。</w:t>
      </w:r>
    </w:p>
    <w:p>
      <w:pPr>
        <w:tabs>
          <w:tab w:val="left" w:pos="0"/>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红筹企业出现第12.3.1条情形之一的，其存托凭证自该情形出现的次一交易日起开始停牌，并披露红筹企业存托凭证可能被终止上市的风险提示公告。</w:t>
      </w:r>
    </w:p>
    <w:p>
      <w:pPr>
        <w:spacing w:line="560" w:lineRule="exact"/>
        <w:ind w:firstLine="640" w:firstLineChars="200"/>
        <w:rPr>
          <w:rFonts w:ascii="仿宋_GB2312" w:hAnsi="仿宋_GB2312" w:eastAsia="仿宋_GB2312"/>
          <w:sz w:val="32"/>
          <w:szCs w:val="32"/>
        </w:rPr>
      </w:pPr>
      <w:r>
        <w:rPr>
          <w:rFonts w:hint="eastAsia" w:ascii="仿宋_GB2312" w:hAnsi="黑体" w:eastAsia="仿宋_GB2312"/>
          <w:sz w:val="32"/>
          <w:szCs w:val="32"/>
        </w:rPr>
        <w:t>本所自公司股票或者红筹企业存托凭证停牌之日起</w:t>
      </w:r>
      <w:r>
        <w:rPr>
          <w:rFonts w:ascii="仿宋_GB2312" w:hAnsi="黑体" w:eastAsia="仿宋_GB2312"/>
          <w:sz w:val="32"/>
          <w:szCs w:val="32"/>
        </w:rPr>
        <w:t>5个交易日内，向公司发出拟终止其股票上市的事先告知书</w:t>
      </w:r>
      <w:r>
        <w:rPr>
          <w:rFonts w:hint="eastAsia" w:ascii="仿宋_GB2312" w:hAnsi="仿宋_GB2312" w:eastAsia="仿宋_GB2312"/>
          <w:sz w:val="32"/>
          <w:szCs w:val="32"/>
        </w:rPr>
        <w:t>，上市公司应当及时披露。</w:t>
      </w:r>
    </w:p>
    <w:p>
      <w:pPr>
        <w:numPr>
          <w:ilvl w:val="2"/>
          <w:numId w:val="47"/>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宋体" w:eastAsia="仿宋_GB2312" w:cs="宋体"/>
          <w:kern w:val="0"/>
          <w:sz w:val="32"/>
          <w:szCs w:val="32"/>
        </w:rPr>
        <w:t>上市公司收到终止上市事先告知书后，可以根据本章第六节的规定提出听证、陈述和申辩。</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宋体" w:eastAsia="仿宋_GB2312" w:cs="宋体"/>
          <w:kern w:val="0"/>
          <w:sz w:val="32"/>
          <w:szCs w:val="32"/>
        </w:rPr>
        <w:t>本所上市委员会在前款规定的有关期限届满或者听证程序结束后15个交易日内，就是否终止其股票或者存托凭证上市事宜进行审议，</w:t>
      </w:r>
      <w:r>
        <w:rPr>
          <w:rFonts w:hint="eastAsia" w:ascii="仿宋_GB2312" w:hAnsi="仿宋_GB2312" w:eastAsia="仿宋_GB2312"/>
          <w:sz w:val="32"/>
          <w:szCs w:val="32"/>
        </w:rPr>
        <w:t>作出独立的专业判断并形成审议意见。</w:t>
      </w:r>
    </w:p>
    <w:p>
      <w:pPr>
        <w:widowControl/>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本所根据上市委员会的审议意见，作出是否终止股票或者存托凭证上市的决定。</w:t>
      </w:r>
    </w:p>
    <w:p>
      <w:pPr>
        <w:numPr>
          <w:ilvl w:val="2"/>
          <w:numId w:val="47"/>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 xml:space="preserve"> 本所决定不对上市公司股票或者存托凭证实施终止上市的，公司应当在收到本所相关决定后，及时披露并申请股票复牌。</w:t>
      </w:r>
    </w:p>
    <w:p>
      <w:pPr>
        <w:numPr>
          <w:ilvl w:val="2"/>
          <w:numId w:val="47"/>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 xml:space="preserve"> 本所在作出终止股票或者存托凭证上市的决定之日起2个交易日内，通知上市公司并披露相关公告，同时报中国证监会备案。</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上市公司应当在收到本所关于终止其股票或者存托凭证上市决定后，及时披露股票或者存托凭证终止上市公告。</w:t>
      </w:r>
    </w:p>
    <w:p>
      <w:pPr>
        <w:ind w:firstLine="640" w:firstLineChars="200"/>
        <w:rPr>
          <w:rFonts w:ascii="仿宋_GB2312" w:hAnsi="黑体" w:eastAsia="仿宋_GB2312"/>
          <w:sz w:val="32"/>
          <w:szCs w:val="32"/>
        </w:rPr>
      </w:pPr>
      <w:r>
        <w:rPr>
          <w:rFonts w:hint="eastAsia" w:ascii="仿宋_GB2312" w:hAnsi="黑体" w:eastAsia="仿宋_GB2312"/>
          <w:sz w:val="32"/>
          <w:szCs w:val="32"/>
        </w:rPr>
        <w:t>本所在公司公告股票或者存托凭证终止上市决定之日起5个交易日内对其予以摘牌，公司股票终止上市,并转入全国中小企业股份转让系统等证券交易场所转让。</w:t>
      </w:r>
    </w:p>
    <w:p>
      <w:pPr>
        <w:ind w:firstLine="640" w:firstLineChars="200"/>
        <w:rPr>
          <w:rFonts w:ascii="仿宋_GB2312" w:hAnsi="黑体" w:eastAsia="仿宋_GB2312"/>
          <w:sz w:val="32"/>
          <w:szCs w:val="32"/>
        </w:rPr>
      </w:pPr>
      <w:r>
        <w:rPr>
          <w:rFonts w:hint="eastAsia" w:ascii="仿宋_GB2312" w:hAnsi="黑体" w:eastAsia="仿宋_GB2312"/>
          <w:sz w:val="32"/>
          <w:szCs w:val="32"/>
        </w:rPr>
        <w:t>上市公司可以按照本章第六节的规定申请复核。</w:t>
      </w:r>
    </w:p>
    <w:p>
      <w:pPr>
        <w:ind w:firstLine="640" w:firstLineChars="200"/>
        <w:rPr>
          <w:rFonts w:ascii="仿宋_GB2312" w:hAnsi="黑体" w:eastAsia="仿宋_GB2312"/>
          <w:sz w:val="32"/>
          <w:szCs w:val="32"/>
        </w:rPr>
      </w:pPr>
      <w:r>
        <w:rPr>
          <w:rFonts w:hint="eastAsia" w:ascii="仿宋_GB2312" w:hAnsi="黑体" w:eastAsia="仿宋_GB2312"/>
          <w:sz w:val="32"/>
          <w:szCs w:val="32"/>
        </w:rPr>
        <w:t>上市公司应当在本所作出终止其股票上市决定后，按照第12.7.12条的规定履行相关义务。</w:t>
      </w:r>
    </w:p>
    <w:p>
      <w:pPr>
        <w:pStyle w:val="36"/>
      </w:pPr>
      <w:bookmarkStart w:id="666" w:name="_Toc11050"/>
      <w:r>
        <w:rPr>
          <w:rFonts w:hint="eastAsia"/>
        </w:rPr>
        <w:t>第四节  财务类强制退市</w:t>
      </w:r>
      <w:bookmarkEnd w:id="666"/>
    </w:p>
    <w:p>
      <w:pPr>
        <w:numPr>
          <w:ilvl w:val="2"/>
          <w:numId w:val="49"/>
        </w:numPr>
        <w:tabs>
          <w:tab w:val="left" w:pos="1560"/>
        </w:tabs>
        <w:snapToGrid w:val="0"/>
        <w:spacing w:line="560" w:lineRule="exact"/>
        <w:ind w:left="0" w:firstLine="640" w:firstLineChars="200"/>
        <w:rPr>
          <w:rFonts w:ascii="仿宋_GB2312" w:hAnsi="黑体" w:eastAsia="仿宋_GB2312"/>
          <w:sz w:val="32"/>
          <w:szCs w:val="32"/>
          <w:u w:val="single"/>
        </w:rPr>
      </w:pPr>
      <w:r>
        <w:rPr>
          <w:rFonts w:hint="eastAsia" w:ascii="仿宋_GB2312" w:hAnsi="黑体" w:eastAsia="仿宋_GB2312"/>
          <w:sz w:val="32"/>
          <w:szCs w:val="32"/>
        </w:rPr>
        <w:t xml:space="preserve"> 上市公司出现下列情形之一，明显丧失持续经营能力，达到本规则规定标准的，本所将对其股票启动退市程序：</w:t>
      </w:r>
    </w:p>
    <w:p>
      <w:pPr>
        <w:pStyle w:val="34"/>
        <w:numPr>
          <w:ilvl w:val="3"/>
          <w:numId w:val="1"/>
        </w:numPr>
        <w:tabs>
          <w:tab w:val="left" w:pos="0"/>
          <w:tab w:val="left" w:pos="1560"/>
          <w:tab w:val="left" w:pos="1843"/>
          <w:tab w:val="clear" w:pos="1980"/>
        </w:tabs>
        <w:snapToGrid w:val="0"/>
        <w:spacing w:line="560" w:lineRule="exact"/>
        <w:ind w:left="0" w:firstLine="709" w:firstLineChars="0"/>
        <w:rPr>
          <w:rFonts w:ascii="仿宋_GB2312" w:hAnsi="黑体"/>
          <w:sz w:val="32"/>
          <w:szCs w:val="32"/>
        </w:rPr>
      </w:pPr>
      <w:r>
        <w:rPr>
          <w:rFonts w:hint="eastAsia" w:ascii="仿宋_GB2312" w:hAnsi="黑体"/>
          <w:sz w:val="32"/>
          <w:szCs w:val="32"/>
        </w:rPr>
        <w:t>主营业务大部分停滞或者规模极低；</w:t>
      </w:r>
    </w:p>
    <w:p>
      <w:pPr>
        <w:pStyle w:val="34"/>
        <w:numPr>
          <w:ilvl w:val="3"/>
          <w:numId w:val="1"/>
        </w:numPr>
        <w:tabs>
          <w:tab w:val="left" w:pos="0"/>
          <w:tab w:val="left" w:pos="1560"/>
          <w:tab w:val="left" w:pos="1843"/>
          <w:tab w:val="left" w:pos="1985"/>
          <w:tab w:val="clear" w:pos="1980"/>
        </w:tabs>
        <w:snapToGrid w:val="0"/>
        <w:spacing w:line="560" w:lineRule="exact"/>
        <w:ind w:left="0" w:firstLine="709" w:firstLineChars="0"/>
        <w:rPr>
          <w:rFonts w:ascii="仿宋_GB2312" w:hAnsi="黑体"/>
          <w:sz w:val="32"/>
          <w:szCs w:val="32"/>
        </w:rPr>
      </w:pPr>
      <w:r>
        <w:rPr>
          <w:rFonts w:hint="eastAsia" w:ascii="仿宋_GB2312" w:hAnsi="黑体"/>
          <w:sz w:val="32"/>
          <w:szCs w:val="32"/>
        </w:rPr>
        <w:t>经营资产大幅减少导致无法维持日常经营；</w:t>
      </w:r>
    </w:p>
    <w:p>
      <w:pPr>
        <w:pStyle w:val="34"/>
        <w:numPr>
          <w:ilvl w:val="3"/>
          <w:numId w:val="1"/>
        </w:numPr>
        <w:tabs>
          <w:tab w:val="left" w:pos="0"/>
          <w:tab w:val="left" w:pos="1560"/>
          <w:tab w:val="left" w:pos="1843"/>
          <w:tab w:val="clear" w:pos="1980"/>
        </w:tabs>
        <w:snapToGrid w:val="0"/>
        <w:spacing w:line="560" w:lineRule="exact"/>
        <w:ind w:left="0" w:firstLine="709" w:firstLineChars="0"/>
        <w:rPr>
          <w:rFonts w:ascii="仿宋_GB2312" w:hAnsi="黑体"/>
          <w:sz w:val="32"/>
          <w:szCs w:val="32"/>
        </w:rPr>
      </w:pPr>
      <w:r>
        <w:rPr>
          <w:rFonts w:hint="eastAsia" w:ascii="仿宋_GB2312" w:hAnsi="黑体"/>
          <w:sz w:val="32"/>
          <w:szCs w:val="32"/>
        </w:rPr>
        <w:t>营业收入或者利润主要来源于不具备商业实质的交易；</w:t>
      </w:r>
    </w:p>
    <w:p>
      <w:pPr>
        <w:pStyle w:val="34"/>
        <w:numPr>
          <w:ilvl w:val="3"/>
          <w:numId w:val="1"/>
        </w:numPr>
        <w:tabs>
          <w:tab w:val="left" w:pos="0"/>
          <w:tab w:val="left" w:pos="1560"/>
          <w:tab w:val="left" w:pos="1843"/>
          <w:tab w:val="clear" w:pos="1980"/>
        </w:tabs>
        <w:snapToGrid w:val="0"/>
        <w:spacing w:line="560" w:lineRule="exact"/>
        <w:ind w:left="0" w:firstLine="709" w:firstLineChars="0"/>
        <w:rPr>
          <w:rFonts w:ascii="仿宋_GB2312" w:hAnsi="黑体"/>
          <w:sz w:val="32"/>
          <w:szCs w:val="32"/>
          <w:u w:val="single"/>
        </w:rPr>
      </w:pPr>
      <w:r>
        <w:rPr>
          <w:rFonts w:hint="eastAsia" w:ascii="仿宋_GB2312" w:hAnsi="黑体"/>
          <w:sz w:val="32"/>
          <w:szCs w:val="32"/>
        </w:rPr>
        <w:t>营业收入或者利润主要来源于与主营业务无关的业务；</w:t>
      </w:r>
    </w:p>
    <w:p>
      <w:pPr>
        <w:pStyle w:val="34"/>
        <w:numPr>
          <w:ilvl w:val="3"/>
          <w:numId w:val="1"/>
        </w:numPr>
        <w:tabs>
          <w:tab w:val="left" w:pos="0"/>
          <w:tab w:val="left" w:pos="1560"/>
          <w:tab w:val="left" w:pos="1843"/>
          <w:tab w:val="clear" w:pos="1980"/>
        </w:tabs>
        <w:snapToGrid w:val="0"/>
        <w:spacing w:line="560" w:lineRule="exact"/>
        <w:ind w:left="0" w:firstLine="709" w:firstLineChars="0"/>
        <w:rPr>
          <w:rFonts w:ascii="仿宋_GB2312" w:hAnsi="黑体"/>
          <w:sz w:val="32"/>
          <w:szCs w:val="32"/>
          <w:u w:val="single"/>
        </w:rPr>
      </w:pPr>
      <w:r>
        <w:rPr>
          <w:rFonts w:hint="eastAsia" w:ascii="仿宋_GB2312" w:hAnsi="黑体"/>
          <w:sz w:val="32"/>
          <w:szCs w:val="32"/>
        </w:rPr>
        <w:t>其他明显丧失持续经营能力的情形。</w:t>
      </w:r>
    </w:p>
    <w:p>
      <w:pPr>
        <w:numPr>
          <w:ilvl w:val="2"/>
          <w:numId w:val="49"/>
        </w:numPr>
        <w:tabs>
          <w:tab w:val="left" w:pos="1560"/>
        </w:tabs>
        <w:snapToGrid w:val="0"/>
        <w:spacing w:line="560" w:lineRule="exact"/>
        <w:ind w:left="0" w:firstLine="640" w:firstLineChars="200"/>
        <w:rPr>
          <w:rFonts w:ascii="仿宋_GB2312" w:hAnsi="黑体" w:eastAsia="仿宋_GB2312"/>
          <w:sz w:val="32"/>
          <w:szCs w:val="32"/>
          <w:u w:val="single"/>
        </w:rPr>
      </w:pPr>
      <w:r>
        <w:rPr>
          <w:rFonts w:hint="eastAsia" w:ascii="仿宋_GB2312" w:hAnsi="黑体" w:eastAsia="仿宋_GB2312"/>
          <w:sz w:val="32"/>
          <w:szCs w:val="32"/>
        </w:rPr>
        <w:t xml:space="preserve"> 上市公司出现下列情形之一的，本所对其股票实施退市风险警示：</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最近一个会计年度经审计的利润总额、净利润或者扣除非经常性损益后的净利润孰低者为负值且营业收入低于1亿元，或者追溯重述后最近一个会计年度利润总额、净利润或者扣除非经常性损益后的净利润孰低者为负值且营业收入低于1亿元；</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w:t>
      </w:r>
      <w:r>
        <w:rPr>
          <w:rFonts w:ascii="仿宋_GB2312" w:hAnsi="黑体" w:eastAsia="仿宋_GB2312"/>
          <w:sz w:val="32"/>
          <w:szCs w:val="32"/>
        </w:rPr>
        <w:t>最近一个会计年度经审计的期末净资产为负值，或</w:t>
      </w:r>
      <w:r>
        <w:rPr>
          <w:rFonts w:hint="eastAsia" w:ascii="仿宋_GB2312" w:hAnsi="黑体" w:eastAsia="仿宋_GB2312"/>
          <w:sz w:val="32"/>
          <w:szCs w:val="32"/>
        </w:rPr>
        <w:t>者</w:t>
      </w:r>
      <w:r>
        <w:rPr>
          <w:rFonts w:ascii="仿宋_GB2312" w:hAnsi="黑体" w:eastAsia="仿宋_GB2312"/>
          <w:sz w:val="32"/>
          <w:szCs w:val="32"/>
        </w:rPr>
        <w:t>追溯重述后最近一个会计年度期末净资产为负值</w:t>
      </w:r>
      <w:r>
        <w:rPr>
          <w:rFonts w:hint="eastAsia" w:ascii="仿宋_GB2312" w:hAnsi="黑体" w:eastAsia="仿宋_GB2312"/>
          <w:sz w:val="32"/>
          <w:szCs w:val="32"/>
        </w:rPr>
        <w:t>；</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（三）最近一个会计年度的财务会计报告被出具无法表示意见或者否定意见的审计报告；</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（四）中国证监会行政处罚决定书表明公司已披露的最近一个会计年度经审计的年度报告存在虚假记载、误导性陈述或者重大遗漏，导致该年度相关财务指标实际已触及第一项、第二项情形的；</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w:t>
      </w:r>
      <w:r>
        <w:rPr>
          <w:rFonts w:ascii="仿宋_GB2312" w:hAnsi="黑体" w:eastAsia="仿宋_GB2312"/>
          <w:sz w:val="32"/>
          <w:szCs w:val="32"/>
        </w:rPr>
        <w:t>）</w:t>
      </w:r>
      <w:r>
        <w:rPr>
          <w:rFonts w:hint="eastAsia" w:ascii="仿宋_GB2312" w:hAnsi="黑体" w:eastAsia="仿宋_GB2312"/>
          <w:sz w:val="32"/>
          <w:szCs w:val="32"/>
        </w:rPr>
        <w:t>本所认定的其他情形。</w:t>
      </w:r>
    </w:p>
    <w:p>
      <w:pPr>
        <w:tabs>
          <w:tab w:val="left" w:pos="1560"/>
        </w:tabs>
        <w:snapToGrid w:val="0"/>
        <w:spacing w:line="560" w:lineRule="exact"/>
        <w:ind w:firstLine="640" w:firstLineChars="200"/>
        <w:rPr>
          <w:rFonts w:ascii="仿宋_GB2312" w:hAnsi="Arial Unicode MS" w:eastAsia="仿宋_GB2312" w:cs="Arial Unicode MS"/>
          <w:color w:val="000000"/>
          <w:sz w:val="30"/>
          <w:szCs w:val="30"/>
        </w:rPr>
      </w:pPr>
      <w:r>
        <w:rPr>
          <w:rFonts w:hint="eastAsia" w:ascii="仿宋_GB2312" w:hAnsi="Arial Unicode MS" w:eastAsia="仿宋_GB2312" w:cs="Arial Unicode MS"/>
          <w:color w:val="000000"/>
          <w:sz w:val="32"/>
          <w:szCs w:val="32"/>
        </w:rPr>
        <w:t>上市公司因追溯重述或者本条第一款第四项规定情形导致相关财务指标触及本条第一款第一项、第二项规定情形的，最近一个会计年度指最近一个已经披露经审计财务会计报告的年度。</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根据本规则第2.1.2</w:t>
      </w:r>
      <w:r>
        <w:rPr>
          <w:rFonts w:ascii="仿宋_GB2312" w:hAnsi="黑体" w:eastAsia="仿宋_GB2312"/>
          <w:sz w:val="32"/>
          <w:szCs w:val="32"/>
        </w:rPr>
        <w:t>条</w:t>
      </w:r>
      <w:r>
        <w:rPr>
          <w:rFonts w:hint="eastAsia" w:ascii="仿宋_GB2312" w:hAnsi="黑体" w:eastAsia="仿宋_GB2312"/>
          <w:sz w:val="32"/>
          <w:szCs w:val="32"/>
        </w:rPr>
        <w:t>第五项市值及财务指标</w:t>
      </w:r>
      <w:r>
        <w:rPr>
          <w:rFonts w:ascii="仿宋_GB2312" w:hAnsi="黑体" w:eastAsia="仿宋_GB2312"/>
          <w:sz w:val="32"/>
          <w:szCs w:val="32"/>
        </w:rPr>
        <w:t>上市</w:t>
      </w:r>
      <w:r>
        <w:rPr>
          <w:rFonts w:hint="eastAsia" w:ascii="仿宋_GB2312" w:hAnsi="黑体" w:eastAsia="仿宋_GB2312"/>
          <w:sz w:val="32"/>
          <w:szCs w:val="32"/>
        </w:rPr>
        <w:t>的公司（以下简称研发型上市公司）自上市之日起第4个完整会计年度起适用本条第一款第一项、第二项、</w:t>
      </w:r>
      <w:r>
        <w:rPr>
          <w:rFonts w:ascii="仿宋_GB2312" w:hAnsi="黑体" w:eastAsia="仿宋_GB2312"/>
          <w:sz w:val="32"/>
          <w:szCs w:val="32"/>
        </w:rPr>
        <w:t>第四项</w:t>
      </w:r>
      <w:r>
        <w:rPr>
          <w:rFonts w:hint="eastAsia" w:ascii="仿宋_GB2312" w:hAnsi="黑体" w:eastAsia="仿宋_GB2312"/>
          <w:sz w:val="32"/>
          <w:szCs w:val="32"/>
        </w:rPr>
        <w:t>规定的情形。</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本所可以根据实际情况调整本条第一款规定的退市指标。</w:t>
      </w:r>
    </w:p>
    <w:p>
      <w:pPr>
        <w:numPr>
          <w:ilvl w:val="2"/>
          <w:numId w:val="49"/>
        </w:numPr>
        <w:tabs>
          <w:tab w:val="left" w:pos="1560"/>
        </w:tabs>
        <w:snapToGrid w:val="0"/>
        <w:spacing w:line="560" w:lineRule="exact"/>
        <w:ind w:left="0" w:firstLine="600" w:firstLineChars="200"/>
        <w:rPr>
          <w:rFonts w:ascii="仿宋_GB2312" w:hAnsi="黑体" w:eastAsia="仿宋_GB2312"/>
          <w:sz w:val="32"/>
          <w:szCs w:val="32"/>
        </w:rPr>
      </w:pPr>
      <w:r>
        <w:rPr>
          <w:rFonts w:hint="eastAsia" w:ascii="仿宋_GB2312" w:hAnsi="Arial Unicode MS" w:eastAsia="仿宋_GB2312" w:cs="Arial Unicode MS"/>
          <w:color w:val="000000"/>
          <w:sz w:val="30"/>
          <w:szCs w:val="30"/>
        </w:rPr>
        <w:t xml:space="preserve"> </w:t>
      </w:r>
      <w:r>
        <w:rPr>
          <w:rFonts w:ascii="仿宋_GB2312" w:hAnsi="Arial Unicode MS" w:eastAsia="仿宋_GB2312" w:cs="Arial Unicode MS"/>
          <w:color w:val="000000"/>
          <w:sz w:val="30"/>
          <w:szCs w:val="30"/>
        </w:rPr>
        <w:t xml:space="preserve"> </w:t>
      </w:r>
      <w:r>
        <w:rPr>
          <w:rFonts w:hint="eastAsia" w:ascii="仿宋_GB2312" w:hAnsi="黑体" w:eastAsia="仿宋_GB2312"/>
          <w:sz w:val="32"/>
          <w:szCs w:val="32"/>
        </w:rPr>
        <w:t>本节所述“营业收入”应当扣除与主营业务无关的业务收入和不具备商业实质的收入。与主营业务无关的业务收入是指与上市公司正常经营业务无直接关系，或者虽与正常经营业务相关，但由于其性质特殊、具有偶发性和临时性，影响报表使用者对公司持续经营能力做出正常判断的各项收入。不具备商业实质的收入是指未导致未来现金流发生显著变化等不具有商业合理性的各项交易和事项产生的收入。</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最近一个会计年度经审计的利润总额、净利润或者扣除非经常性损益后的净利润孰低者为负值的，公司应当在年度报告或者更正公告中披露营业收入扣除情况及扣除后的营业收入金额；负责审计的会计师事务所应当就公司营业收入扣除事项是否符合本条规定及扣除后的营业收入金额出具专项核查意见。</w:t>
      </w:r>
    </w:p>
    <w:p>
      <w:pPr>
        <w:tabs>
          <w:tab w:val="left" w:pos="1560"/>
        </w:tabs>
        <w:snapToGrid w:val="0"/>
        <w:spacing w:line="560" w:lineRule="exact"/>
        <w:ind w:firstLine="640" w:firstLineChars="200"/>
        <w:rPr>
          <w:rFonts w:ascii="仿宋_GB2312" w:hAnsi="Arial Unicode MS" w:eastAsia="仿宋_GB2312" w:cs="Arial Unicode MS"/>
          <w:color w:val="000000"/>
          <w:sz w:val="30"/>
          <w:szCs w:val="30"/>
        </w:rPr>
      </w:pPr>
      <w:r>
        <w:rPr>
          <w:rFonts w:hint="eastAsia" w:ascii="仿宋_GB2312" w:hAnsi="黑体" w:eastAsia="仿宋_GB2312"/>
          <w:sz w:val="32"/>
          <w:szCs w:val="32"/>
        </w:rPr>
        <w:t>公司未按本条规定扣除相关收入的，本所可以要求公司扣除相关营业收入。公司未按照要求扣除的，本所可以扣除并对公司股票实施退市风险警示、终止上市。</w:t>
      </w:r>
    </w:p>
    <w:p>
      <w:pPr>
        <w:numPr>
          <w:ilvl w:val="2"/>
          <w:numId w:val="49"/>
        </w:numPr>
        <w:tabs>
          <w:tab w:val="left" w:pos="1560"/>
        </w:tabs>
        <w:snapToGrid w:val="0"/>
        <w:spacing w:line="560" w:lineRule="exact"/>
        <w:ind w:left="0" w:firstLine="640" w:firstLineChars="200"/>
        <w:rPr>
          <w:rFonts w:ascii="仿宋_GB2312" w:hAnsi="Arial Unicode MS" w:eastAsia="仿宋_GB2312" w:cs="Arial Unicode MS"/>
          <w:color w:val="000000"/>
          <w:sz w:val="30"/>
          <w:szCs w:val="30"/>
        </w:rPr>
      </w:pPr>
      <w:r>
        <w:rPr>
          <w:rFonts w:hint="eastAsia" w:ascii="仿宋_GB2312" w:hAnsi="黑体" w:eastAsia="仿宋_GB2312"/>
          <w:sz w:val="32"/>
          <w:szCs w:val="32"/>
        </w:rPr>
        <w:t xml:space="preserve"> 研发型上市公司主要业务、产品或者所依赖的基础技术研发失败或者被禁止使用，且公司无其他业务或者产品符合本规则第2.1.2条第五项规定要求的，本所将对其股票实施退市风险警示。</w:t>
      </w:r>
    </w:p>
    <w:p>
      <w:pPr>
        <w:numPr>
          <w:ilvl w:val="2"/>
          <w:numId w:val="49"/>
        </w:numPr>
        <w:tabs>
          <w:tab w:val="left" w:pos="1560"/>
        </w:tabs>
        <w:snapToGrid w:val="0"/>
        <w:spacing w:line="560" w:lineRule="exact"/>
        <w:ind w:left="0" w:firstLine="640" w:firstLineChars="200"/>
        <w:rPr>
          <w:rFonts w:ascii="仿宋_GB2312" w:hAnsi="Arial Unicode MS" w:eastAsia="仿宋_GB2312" w:cs="Arial Unicode MS"/>
          <w:color w:val="000000"/>
          <w:sz w:val="30"/>
          <w:szCs w:val="30"/>
        </w:rPr>
      </w:pPr>
      <w:r>
        <w:rPr>
          <w:rFonts w:ascii="仿宋_GB2312" w:hAnsi="黑体" w:eastAsia="仿宋_GB2312"/>
          <w:sz w:val="32"/>
          <w:szCs w:val="32"/>
        </w:rPr>
        <w:t xml:space="preserve"> </w:t>
      </w:r>
      <w:r>
        <w:rPr>
          <w:rFonts w:hint="eastAsia" w:ascii="仿宋_GB2312" w:hAnsi="黑体" w:eastAsia="仿宋_GB2312"/>
          <w:sz w:val="32"/>
          <w:szCs w:val="32"/>
        </w:rPr>
        <w:t>上市公司预计将出现第12.4.2条规定情形的，应当在相应的会计年度结束后一个月内，披露股票可能被实施退市风险警示的风险提示公告，并在披露年度报告前至少再披露两次风险提示公告。</w:t>
      </w:r>
    </w:p>
    <w:p>
      <w:pPr>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公司预计因追溯重述导致可能出现第12.4.2条第一款第一项、第二项规定情形的，或者可能出现第</w:t>
      </w:r>
      <w:r>
        <w:rPr>
          <w:rFonts w:ascii="仿宋_GB2312" w:hAnsi="Arial Unicode MS" w:eastAsia="仿宋_GB2312" w:cs="Arial Unicode MS"/>
          <w:color w:val="000000"/>
          <w:sz w:val="32"/>
          <w:szCs w:val="32"/>
        </w:rPr>
        <w:t>12.4.2</w:t>
      </w:r>
      <w:r>
        <w:rPr>
          <w:rFonts w:hint="eastAsia" w:ascii="仿宋_GB2312" w:hAnsi="Arial Unicode MS" w:eastAsia="仿宋_GB2312" w:cs="Arial Unicode MS"/>
          <w:color w:val="000000"/>
          <w:sz w:val="32"/>
          <w:szCs w:val="32"/>
        </w:rPr>
        <w:t>条第一款第四项规定情形的，应当在知悉相关风险情况时立即披露公司股票可能被实施退市风险警示的风险提示公告。</w:t>
      </w:r>
    </w:p>
    <w:p>
      <w:pPr>
        <w:numPr>
          <w:ilvl w:val="2"/>
          <w:numId w:val="49"/>
        </w:numPr>
        <w:tabs>
          <w:tab w:val="left" w:pos="1560"/>
        </w:tabs>
        <w:snapToGrid w:val="0"/>
        <w:spacing w:line="560" w:lineRule="exact"/>
        <w:ind w:left="0" w:firstLine="640" w:firstLineChars="200"/>
        <w:rPr>
          <w:rFonts w:ascii="仿宋_GB2312" w:hAnsi="Arial Unicode MS" w:eastAsia="仿宋_GB2312" w:cs="Arial Unicode MS"/>
          <w:color w:val="000000"/>
          <w:sz w:val="32"/>
          <w:szCs w:val="32"/>
        </w:rPr>
      </w:pPr>
      <w:r>
        <w:rPr>
          <w:rFonts w:hint="eastAsia" w:ascii="仿宋_GB2312" w:hAnsi="黑体" w:eastAsia="仿宋_GB2312"/>
          <w:sz w:val="32"/>
          <w:szCs w:val="32"/>
        </w:rPr>
        <w:t>上市公司出现第</w:t>
      </w:r>
      <w:r>
        <w:rPr>
          <w:rFonts w:ascii="仿宋_GB2312" w:hAnsi="黑体" w:eastAsia="仿宋_GB2312"/>
          <w:sz w:val="32"/>
          <w:szCs w:val="32"/>
        </w:rPr>
        <w:t>12.</w:t>
      </w:r>
      <w:r>
        <w:rPr>
          <w:rFonts w:hint="eastAsia" w:ascii="仿宋_GB2312" w:hAnsi="黑体" w:eastAsia="仿宋_GB2312"/>
          <w:sz w:val="32"/>
          <w:szCs w:val="32"/>
        </w:rPr>
        <w:t>4</w:t>
      </w:r>
      <w:r>
        <w:rPr>
          <w:rFonts w:ascii="仿宋_GB2312" w:hAnsi="黑体" w:eastAsia="仿宋_GB2312"/>
          <w:sz w:val="32"/>
          <w:szCs w:val="32"/>
        </w:rPr>
        <w:t>.</w:t>
      </w:r>
      <w:r>
        <w:rPr>
          <w:rFonts w:hint="eastAsia" w:ascii="仿宋_GB2312" w:hAnsi="黑体" w:eastAsia="仿宋_GB2312"/>
          <w:sz w:val="32"/>
          <w:szCs w:val="32"/>
        </w:rPr>
        <w:t>2条</w:t>
      </w:r>
      <w:r>
        <w:rPr>
          <w:rFonts w:hint="eastAsia" w:ascii="仿宋_GB2312" w:hAnsi="Arial Unicode MS" w:eastAsia="仿宋_GB2312" w:cs="Arial Unicode MS"/>
          <w:color w:val="000000"/>
          <w:sz w:val="32"/>
          <w:szCs w:val="32"/>
        </w:rPr>
        <w:t>第一款</w:t>
      </w:r>
      <w:r>
        <w:rPr>
          <w:rFonts w:hint="eastAsia" w:ascii="仿宋_GB2312" w:hAnsi="黑体" w:eastAsia="仿宋_GB2312"/>
          <w:sz w:val="32"/>
          <w:szCs w:val="32"/>
        </w:rPr>
        <w:t>第一项</w:t>
      </w:r>
      <w:r>
        <w:rPr>
          <w:rFonts w:ascii="仿宋_GB2312" w:hAnsi="黑体" w:eastAsia="仿宋_GB2312"/>
          <w:sz w:val="32"/>
          <w:szCs w:val="32"/>
        </w:rPr>
        <w:t>至第三项</w:t>
      </w:r>
      <w:r>
        <w:rPr>
          <w:rFonts w:hint="eastAsia" w:ascii="仿宋_GB2312" w:hAnsi="黑体" w:eastAsia="仿宋_GB2312"/>
          <w:sz w:val="32"/>
          <w:szCs w:val="32"/>
        </w:rPr>
        <w:t>规定情形的，应当在董事会审议通过年度</w:t>
      </w:r>
      <w:r>
        <w:rPr>
          <w:rFonts w:hint="eastAsia" w:ascii="仿宋_GB2312" w:hAnsi="黑体" w:eastAsia="仿宋_GB2312" w:cs="Arial Unicode MS"/>
          <w:color w:val="000000"/>
          <w:sz w:val="32"/>
          <w:szCs w:val="32"/>
        </w:rPr>
        <w:t>报告或者财务会计报告更正事项后及时向本所报告，披露年度报告或者财务会计报告更正公告，并向本所提交董事会的书</w:t>
      </w:r>
      <w:r>
        <w:rPr>
          <w:rFonts w:hint="eastAsia" w:ascii="仿宋_GB2312" w:hAnsi="Arial Unicode MS" w:eastAsia="仿宋_GB2312" w:cs="Arial Unicode MS"/>
          <w:color w:val="000000"/>
          <w:sz w:val="32"/>
          <w:szCs w:val="32"/>
        </w:rPr>
        <w:t>面意见。公司股票自年度报告或者财务会计报告更正公告披露日起停牌。公司</w:t>
      </w:r>
      <w:r>
        <w:rPr>
          <w:rFonts w:ascii="仿宋_GB2312" w:hAnsi="黑体" w:eastAsia="仿宋_GB2312" w:cs="Arial Unicode MS"/>
          <w:color w:val="000000"/>
          <w:sz w:val="32"/>
          <w:szCs w:val="32"/>
        </w:rPr>
        <w:t>根据第1</w:t>
      </w:r>
      <w:r>
        <w:rPr>
          <w:rFonts w:hint="eastAsia" w:ascii="仿宋_GB2312" w:hAnsi="黑体" w:eastAsia="仿宋_GB2312" w:cs="Arial Unicode MS"/>
          <w:color w:val="000000"/>
          <w:sz w:val="32"/>
          <w:szCs w:val="32"/>
        </w:rPr>
        <w:t>2</w:t>
      </w:r>
      <w:r>
        <w:rPr>
          <w:rFonts w:ascii="仿宋_GB2312" w:hAnsi="黑体" w:eastAsia="仿宋_GB2312" w:cs="Arial Unicode MS"/>
          <w:color w:val="000000"/>
          <w:sz w:val="32"/>
          <w:szCs w:val="32"/>
        </w:rPr>
        <w:t>.</w:t>
      </w:r>
      <w:r>
        <w:rPr>
          <w:rFonts w:hint="eastAsia" w:ascii="仿宋_GB2312" w:hAnsi="黑体" w:eastAsia="仿宋_GB2312" w:cs="Arial Unicode MS"/>
          <w:color w:val="000000"/>
          <w:sz w:val="32"/>
          <w:szCs w:val="32"/>
        </w:rPr>
        <w:t>4</w:t>
      </w:r>
      <w:r>
        <w:rPr>
          <w:rFonts w:ascii="仿宋_GB2312" w:hAnsi="黑体" w:eastAsia="仿宋_GB2312" w:cs="Arial Unicode MS"/>
          <w:color w:val="000000"/>
          <w:sz w:val="32"/>
          <w:szCs w:val="32"/>
        </w:rPr>
        <w:t>.</w:t>
      </w:r>
      <w:r>
        <w:rPr>
          <w:rFonts w:hint="eastAsia" w:ascii="仿宋_GB2312" w:hAnsi="黑体" w:eastAsia="仿宋_GB2312" w:cs="Arial Unicode MS"/>
          <w:color w:val="000000"/>
          <w:sz w:val="32"/>
          <w:szCs w:val="32"/>
        </w:rPr>
        <w:t>3</w:t>
      </w:r>
      <w:r>
        <w:rPr>
          <w:rFonts w:ascii="仿宋_GB2312" w:hAnsi="黑体" w:eastAsia="仿宋_GB2312" w:cs="Arial Unicode MS"/>
          <w:color w:val="000000"/>
          <w:sz w:val="32"/>
          <w:szCs w:val="32"/>
        </w:rPr>
        <w:t>条规定扣除相关营业收入</w:t>
      </w:r>
      <w:r>
        <w:rPr>
          <w:rFonts w:hint="eastAsia" w:ascii="仿宋_GB2312" w:hAnsi="黑体" w:eastAsia="仿宋_GB2312" w:cs="Arial Unicode MS"/>
          <w:color w:val="000000"/>
          <w:sz w:val="32"/>
          <w:szCs w:val="32"/>
        </w:rPr>
        <w:t>或者</w:t>
      </w:r>
      <w:r>
        <w:rPr>
          <w:rFonts w:ascii="仿宋_GB2312" w:hAnsi="黑体" w:eastAsia="仿宋_GB2312" w:cs="Arial Unicode MS"/>
          <w:color w:val="000000"/>
          <w:sz w:val="32"/>
          <w:szCs w:val="32"/>
        </w:rPr>
        <w:t>本所根据第1</w:t>
      </w:r>
      <w:r>
        <w:rPr>
          <w:rFonts w:hint="eastAsia" w:ascii="仿宋_GB2312" w:hAnsi="黑体" w:eastAsia="仿宋_GB2312" w:cs="Arial Unicode MS"/>
          <w:color w:val="000000"/>
          <w:sz w:val="32"/>
          <w:szCs w:val="32"/>
        </w:rPr>
        <w:t>2</w:t>
      </w:r>
      <w:r>
        <w:rPr>
          <w:rFonts w:ascii="仿宋_GB2312" w:hAnsi="黑体" w:eastAsia="仿宋_GB2312" w:cs="Arial Unicode MS"/>
          <w:color w:val="000000"/>
          <w:sz w:val="32"/>
          <w:szCs w:val="32"/>
        </w:rPr>
        <w:t>.</w:t>
      </w:r>
      <w:r>
        <w:rPr>
          <w:rFonts w:hint="eastAsia" w:ascii="仿宋_GB2312" w:hAnsi="黑体" w:eastAsia="仿宋_GB2312" w:cs="Arial Unicode MS"/>
          <w:color w:val="000000"/>
          <w:sz w:val="32"/>
          <w:szCs w:val="32"/>
        </w:rPr>
        <w:t>4</w:t>
      </w:r>
      <w:r>
        <w:rPr>
          <w:rFonts w:ascii="仿宋_GB2312" w:hAnsi="黑体" w:eastAsia="仿宋_GB2312" w:cs="Arial Unicode MS"/>
          <w:color w:val="000000"/>
          <w:sz w:val="32"/>
          <w:szCs w:val="32"/>
        </w:rPr>
        <w:t>.</w:t>
      </w:r>
      <w:r>
        <w:rPr>
          <w:rFonts w:hint="eastAsia" w:ascii="仿宋_GB2312" w:hAnsi="黑体" w:eastAsia="仿宋_GB2312" w:cs="Arial Unicode MS"/>
          <w:color w:val="000000"/>
          <w:sz w:val="32"/>
          <w:szCs w:val="32"/>
        </w:rPr>
        <w:t>3</w:t>
      </w:r>
      <w:r>
        <w:rPr>
          <w:rFonts w:ascii="仿宋_GB2312" w:hAnsi="黑体" w:eastAsia="仿宋_GB2312" w:cs="Arial Unicode MS"/>
          <w:color w:val="000000"/>
          <w:sz w:val="32"/>
          <w:szCs w:val="32"/>
        </w:rPr>
        <w:t>条规定要求公司扣除相关营业收入</w:t>
      </w:r>
      <w:r>
        <w:rPr>
          <w:rFonts w:hint="eastAsia" w:ascii="仿宋_GB2312" w:hAnsi="黑体" w:eastAsia="仿宋_GB2312" w:cs="Arial Unicode MS"/>
          <w:color w:val="000000"/>
          <w:sz w:val="32"/>
          <w:szCs w:val="32"/>
        </w:rPr>
        <w:t>，</w:t>
      </w:r>
      <w:r>
        <w:rPr>
          <w:rFonts w:ascii="仿宋_GB2312" w:hAnsi="黑体" w:eastAsia="仿宋_GB2312" w:cs="Arial Unicode MS"/>
          <w:color w:val="000000"/>
          <w:sz w:val="32"/>
          <w:szCs w:val="32"/>
        </w:rPr>
        <w:t>且扣除后公司触及第12.</w:t>
      </w:r>
      <w:r>
        <w:rPr>
          <w:rFonts w:hint="eastAsia" w:ascii="仿宋_GB2312" w:hAnsi="黑体" w:eastAsia="仿宋_GB2312" w:cs="Arial Unicode MS"/>
          <w:color w:val="000000"/>
          <w:sz w:val="32"/>
          <w:szCs w:val="32"/>
        </w:rPr>
        <w:t>4</w:t>
      </w:r>
      <w:r>
        <w:rPr>
          <w:rFonts w:ascii="仿宋_GB2312" w:hAnsi="黑体" w:eastAsia="仿宋_GB2312" w:cs="Arial Unicode MS"/>
          <w:color w:val="000000"/>
          <w:sz w:val="32"/>
          <w:szCs w:val="32"/>
        </w:rPr>
        <w:t>.2条规定退市风险警示情形的，公司应当</w:t>
      </w:r>
      <w:r>
        <w:rPr>
          <w:rFonts w:hint="eastAsia" w:ascii="仿宋_GB2312" w:hAnsi="黑体" w:eastAsia="仿宋_GB2312" w:cs="Arial Unicode MS"/>
          <w:color w:val="000000"/>
          <w:sz w:val="32"/>
          <w:szCs w:val="32"/>
        </w:rPr>
        <w:t>立即披露或者</w:t>
      </w:r>
      <w:r>
        <w:rPr>
          <w:rFonts w:ascii="仿宋_GB2312" w:hAnsi="黑体" w:eastAsia="仿宋_GB2312" w:cs="Arial Unicode MS"/>
          <w:color w:val="000000"/>
          <w:sz w:val="32"/>
          <w:szCs w:val="32"/>
        </w:rPr>
        <w:t>在收到本所通知的</w:t>
      </w:r>
      <w:r>
        <w:rPr>
          <w:rFonts w:hint="eastAsia" w:ascii="仿宋_GB2312" w:hAnsi="黑体" w:eastAsia="仿宋_GB2312" w:cs="Arial Unicode MS"/>
          <w:color w:val="000000"/>
          <w:sz w:val="32"/>
          <w:szCs w:val="32"/>
        </w:rPr>
        <w:t>次</w:t>
      </w:r>
      <w:r>
        <w:rPr>
          <w:rFonts w:ascii="仿宋_GB2312" w:hAnsi="黑体" w:eastAsia="仿宋_GB2312" w:cs="Arial Unicode MS"/>
          <w:color w:val="000000"/>
          <w:sz w:val="32"/>
          <w:szCs w:val="32"/>
        </w:rPr>
        <w:t>一交易日披露有关内容，公司股票于公告披露日起停牌。</w:t>
      </w:r>
      <w:r>
        <w:rPr>
          <w:rFonts w:hint="eastAsia" w:ascii="仿宋_GB2312" w:hAnsi="Arial Unicode MS" w:eastAsia="仿宋_GB2312" w:cs="Arial Unicode MS"/>
          <w:color w:val="000000"/>
          <w:sz w:val="32"/>
          <w:szCs w:val="32"/>
        </w:rPr>
        <w:t>披露日为非交易日的，于次一交易日起停牌。</w:t>
      </w:r>
    </w:p>
    <w:p>
      <w:pPr>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上市公司出现第</w:t>
      </w:r>
      <w:r>
        <w:rPr>
          <w:rFonts w:ascii="仿宋_GB2312" w:hAnsi="黑体" w:eastAsia="仿宋_GB2312"/>
          <w:sz w:val="32"/>
          <w:szCs w:val="32"/>
        </w:rPr>
        <w:t>12.</w:t>
      </w:r>
      <w:r>
        <w:rPr>
          <w:rFonts w:hint="eastAsia" w:ascii="仿宋_GB2312" w:hAnsi="黑体" w:eastAsia="仿宋_GB2312"/>
          <w:sz w:val="32"/>
          <w:szCs w:val="32"/>
        </w:rPr>
        <w:t>4</w:t>
      </w:r>
      <w:r>
        <w:rPr>
          <w:rFonts w:ascii="仿宋_GB2312" w:hAnsi="黑体" w:eastAsia="仿宋_GB2312"/>
          <w:sz w:val="32"/>
          <w:szCs w:val="32"/>
        </w:rPr>
        <w:t>.</w:t>
      </w:r>
      <w:r>
        <w:rPr>
          <w:rFonts w:hint="eastAsia" w:ascii="仿宋_GB2312" w:hAnsi="黑体" w:eastAsia="仿宋_GB2312"/>
          <w:sz w:val="32"/>
          <w:szCs w:val="32"/>
        </w:rPr>
        <w:t>2</w:t>
      </w:r>
      <w:r>
        <w:rPr>
          <w:rFonts w:hint="eastAsia" w:ascii="仿宋_GB2312" w:hAnsi="Arial Unicode MS" w:eastAsia="仿宋_GB2312" w:cs="Arial Unicode MS"/>
          <w:color w:val="000000"/>
          <w:sz w:val="32"/>
          <w:szCs w:val="32"/>
        </w:rPr>
        <w:t>条第一款第四项规定情形的，应当在收到行政处罚决定书后及时向本所报告，披露</w:t>
      </w:r>
      <w:r>
        <w:rPr>
          <w:rFonts w:ascii="仿宋_GB2312" w:hAnsi="Arial Unicode MS" w:eastAsia="仿宋_GB2312" w:cs="Arial Unicode MS"/>
          <w:color w:val="000000"/>
          <w:sz w:val="32"/>
          <w:szCs w:val="32"/>
        </w:rPr>
        <w:t>有关内容，并向本所</w:t>
      </w:r>
      <w:r>
        <w:rPr>
          <w:rFonts w:hint="eastAsia" w:ascii="仿宋_GB2312" w:hAnsi="Arial Unicode MS" w:eastAsia="仿宋_GB2312" w:cs="Arial Unicode MS"/>
          <w:color w:val="000000"/>
          <w:sz w:val="32"/>
          <w:szCs w:val="32"/>
        </w:rPr>
        <w:t>提交董事会的书面意见。公司股票于行政处罚决定书披露日起停牌。披露日为非交易日的，于次一交易日起停牌。</w:t>
      </w:r>
    </w:p>
    <w:p>
      <w:pPr>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上市公司未及时披露的，本所可以在获悉相关情况后对公司股票实施停牌，并向市场公告。</w:t>
      </w:r>
    </w:p>
    <w:p>
      <w:pPr>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本所在上市公司股票停牌之日起</w:t>
      </w:r>
      <w:r>
        <w:rPr>
          <w:rFonts w:ascii="仿宋_GB2312" w:hAnsi="Arial Unicode MS" w:eastAsia="仿宋_GB2312" w:cs="Arial Unicode MS"/>
          <w:color w:val="000000"/>
          <w:sz w:val="32"/>
          <w:szCs w:val="32"/>
        </w:rPr>
        <w:t>5个交易日内，根据</w:t>
      </w:r>
      <w:r>
        <w:rPr>
          <w:rFonts w:hint="eastAsia" w:ascii="仿宋_GB2312" w:hAnsi="Arial Unicode MS" w:eastAsia="仿宋_GB2312" w:cs="Arial Unicode MS"/>
          <w:color w:val="000000"/>
          <w:sz w:val="32"/>
          <w:szCs w:val="32"/>
        </w:rPr>
        <w:t>规则</w:t>
      </w:r>
      <w:r>
        <w:rPr>
          <w:rFonts w:ascii="仿宋_GB2312" w:hAnsi="Arial Unicode MS" w:eastAsia="仿宋_GB2312" w:cs="Arial Unicode MS"/>
          <w:color w:val="000000"/>
          <w:sz w:val="32"/>
          <w:szCs w:val="32"/>
        </w:rPr>
        <w:t>规定，对公司股票实施退市风险警示。公司应</w:t>
      </w:r>
      <w:r>
        <w:rPr>
          <w:rFonts w:hint="eastAsia" w:ascii="仿宋_GB2312" w:hAnsi="Arial Unicode MS" w:eastAsia="仿宋_GB2312" w:cs="Arial Unicode MS"/>
          <w:color w:val="000000"/>
          <w:sz w:val="32"/>
          <w:szCs w:val="32"/>
        </w:rPr>
        <w:t>当</w:t>
      </w:r>
      <w:r>
        <w:rPr>
          <w:rFonts w:ascii="仿宋_GB2312" w:hAnsi="Arial Unicode MS" w:eastAsia="仿宋_GB2312" w:cs="Arial Unicode MS"/>
          <w:color w:val="000000"/>
          <w:sz w:val="32"/>
          <w:szCs w:val="32"/>
        </w:rPr>
        <w:t>按照本所要求在其股票被实施退市风险警示前及时发布公告。</w:t>
      </w:r>
      <w:r>
        <w:rPr>
          <w:rFonts w:hint="eastAsia" w:ascii="仿宋_GB2312" w:hAnsi="Arial Unicode MS" w:eastAsia="仿宋_GB2312" w:cs="Arial Unicode MS"/>
          <w:color w:val="000000"/>
          <w:sz w:val="32"/>
          <w:szCs w:val="32"/>
        </w:rPr>
        <w:t>公司股票自公告披露后的次一交易日起复牌。公告披露日为非交易日的，于披露后的第二个交易日起复牌。自复牌之日起，本所对公司股票实施退市风险警示。</w:t>
      </w:r>
    </w:p>
    <w:p>
      <w:pPr>
        <w:numPr>
          <w:ilvl w:val="2"/>
          <w:numId w:val="49"/>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研发型上市公司主要产品、业务或者所依赖的基础技术宣告研发失败或者被禁止使用的，公司应当自相关事实发生之日起申请股票停牌，并发布股票可能被实施退市风险警示的风险提示公告。</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公司应当在股票停牌之日起的</w:t>
      </w:r>
      <w:r>
        <w:rPr>
          <w:rFonts w:ascii="仿宋_GB2312" w:hAnsi="黑体" w:eastAsia="仿宋_GB2312"/>
          <w:sz w:val="32"/>
          <w:szCs w:val="32"/>
        </w:rPr>
        <w:t>10</w:t>
      </w:r>
      <w:r>
        <w:rPr>
          <w:rFonts w:hint="eastAsia" w:ascii="仿宋_GB2312" w:hAnsi="黑体" w:eastAsia="仿宋_GB2312"/>
          <w:sz w:val="32"/>
          <w:szCs w:val="32"/>
        </w:rPr>
        <w:t>个交易日内，核查公司其他产品或者业务是否符合第2.1.2条第五项规定要求、公司是否出现第12.4.4条规定情形，并提交报告及披露。公司应当聘请证券公司出具专项意见。除第12.4.8条规定情形外，公司股票于前述报告披露日起复牌。</w:t>
      </w:r>
    </w:p>
    <w:p>
      <w:pPr>
        <w:numPr>
          <w:ilvl w:val="2"/>
          <w:numId w:val="49"/>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研发型上市公司未在规定期限内提交报告，或者核查后认为未出现第1</w:t>
      </w:r>
      <w:r>
        <w:rPr>
          <w:rFonts w:ascii="仿宋_GB2312" w:hAnsi="黑体" w:eastAsia="仿宋_GB2312"/>
          <w:sz w:val="32"/>
          <w:szCs w:val="32"/>
        </w:rPr>
        <w:t>2.4.</w:t>
      </w:r>
      <w:r>
        <w:rPr>
          <w:rFonts w:hint="eastAsia" w:ascii="仿宋_GB2312" w:hAnsi="黑体" w:eastAsia="仿宋_GB2312"/>
          <w:sz w:val="32"/>
          <w:szCs w:val="32"/>
        </w:rPr>
        <w:t>4条规定情形的，本所可以提请上市委员会对公司是否出现第1</w:t>
      </w:r>
      <w:r>
        <w:rPr>
          <w:rFonts w:ascii="仿宋_GB2312" w:hAnsi="黑体" w:eastAsia="仿宋_GB2312"/>
          <w:sz w:val="32"/>
          <w:szCs w:val="32"/>
        </w:rPr>
        <w:t>2.4.</w:t>
      </w:r>
      <w:r>
        <w:rPr>
          <w:rFonts w:hint="eastAsia" w:ascii="仿宋_GB2312" w:hAnsi="黑体" w:eastAsia="仿宋_GB2312"/>
          <w:sz w:val="32"/>
          <w:szCs w:val="32"/>
        </w:rPr>
        <w:t>4条规定情形作出认定，并通知上市公司。</w:t>
      </w:r>
    </w:p>
    <w:p>
      <w:pPr>
        <w:tabs>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黑体" w:eastAsia="仿宋_GB2312"/>
          <w:sz w:val="32"/>
          <w:szCs w:val="32"/>
        </w:rPr>
        <w:t>公司及证券公司核查后认为或者本所认定公司出现第1</w:t>
      </w:r>
      <w:r>
        <w:rPr>
          <w:rFonts w:ascii="仿宋_GB2312" w:hAnsi="黑体" w:eastAsia="仿宋_GB2312"/>
          <w:sz w:val="32"/>
          <w:szCs w:val="32"/>
        </w:rPr>
        <w:t>2.4.</w:t>
      </w:r>
      <w:r>
        <w:rPr>
          <w:rFonts w:hint="eastAsia" w:ascii="仿宋_GB2312" w:hAnsi="黑体" w:eastAsia="仿宋_GB2312"/>
          <w:sz w:val="32"/>
          <w:szCs w:val="32"/>
        </w:rPr>
        <w:t>4条规定情形的，本所自收到公司提交的相关报告或者作出认定后5个交易日内，对公司股票实施退市风险警示。公司应当按照本所要求在其股票被实施退市风险警示前及时发布公告。</w:t>
      </w:r>
      <w:r>
        <w:rPr>
          <w:rFonts w:hint="eastAsia" w:ascii="仿宋_GB2312" w:hAnsi="Arial Unicode MS" w:eastAsia="仿宋_GB2312" w:cs="Arial Unicode MS"/>
          <w:color w:val="000000"/>
          <w:sz w:val="32"/>
          <w:szCs w:val="32"/>
        </w:rPr>
        <w:t>公司股票自公告披露后的次一交易日起复牌。公告披露日为非交易日的，于披露后的第二个交易日起复牌。自复牌之日起，本所对公司股票实施退市风险警示。</w:t>
      </w:r>
    </w:p>
    <w:p>
      <w:pPr>
        <w:numPr>
          <w:ilvl w:val="2"/>
          <w:numId w:val="49"/>
        </w:numPr>
        <w:tabs>
          <w:tab w:val="left" w:pos="1560"/>
        </w:tabs>
        <w:snapToGrid w:val="0"/>
        <w:spacing w:line="560" w:lineRule="exact"/>
        <w:ind w:left="0" w:firstLine="640" w:firstLineChars="200"/>
        <w:rPr>
          <w:rFonts w:ascii="仿宋_GB2312" w:hAnsi="Arial Unicode MS" w:eastAsia="仿宋_GB2312" w:cs="Arial Unicode MS"/>
          <w:color w:val="000000"/>
          <w:sz w:val="32"/>
          <w:szCs w:val="32"/>
        </w:rPr>
      </w:pPr>
      <w:r>
        <w:rPr>
          <w:rFonts w:hint="eastAsia" w:ascii="仿宋_GB2312" w:hAnsi="黑体" w:eastAsia="仿宋_GB2312"/>
          <w:sz w:val="32"/>
          <w:szCs w:val="32"/>
        </w:rPr>
        <w:t>上市公司因第12.4.2条</w:t>
      </w:r>
      <w:r>
        <w:rPr>
          <w:rFonts w:hint="eastAsia" w:ascii="仿宋_GB2312" w:hAnsi="Arial Unicode MS" w:eastAsia="仿宋_GB2312" w:cs="Arial Unicode MS"/>
          <w:color w:val="000000"/>
          <w:sz w:val="32"/>
          <w:szCs w:val="32"/>
        </w:rPr>
        <w:t>第一款</w:t>
      </w:r>
      <w:r>
        <w:rPr>
          <w:rFonts w:hint="eastAsia" w:ascii="仿宋_GB2312" w:hAnsi="黑体" w:eastAsia="仿宋_GB2312"/>
          <w:sz w:val="32"/>
          <w:szCs w:val="32"/>
        </w:rPr>
        <w:t>第一项</w:t>
      </w:r>
      <w:r>
        <w:rPr>
          <w:rFonts w:ascii="仿宋_GB2312" w:hAnsi="黑体" w:eastAsia="仿宋_GB2312"/>
          <w:sz w:val="32"/>
          <w:szCs w:val="32"/>
        </w:rPr>
        <w:t>至第三项</w:t>
      </w:r>
      <w:r>
        <w:rPr>
          <w:rFonts w:hint="eastAsia" w:ascii="仿宋_GB2312" w:hAnsi="黑体" w:eastAsia="仿宋_GB2312"/>
          <w:sz w:val="32"/>
          <w:szCs w:val="32"/>
        </w:rPr>
        <w:t>规定的标准，其股票被实施退市风险警示的，应当在其股票被实施退市风险警示当年的会计年度结束后一个月内，披露股票可能被终止上市的风险提示公告，并在首次风险提示公告披露后至年度报告披露前，每10个交易日披露一次风险提示公告。本所可以视情况要求公司增加风险提示公告的披露次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上市公司因第12.4.2条第一款第一项至第三项规定的标准，其股票被实施退市风险警示后，应当分别在年度报告预约披露日前20个交易日和10个交易日，披露年度报告编制及最新审计进展情况。</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股票因第12.4.2条第一款第四项规定情形，或者因追溯重述导致触及第12.4.2条第一款第一项、第二项规定情形，被实施退市风险警示的，公司应当在披露实际触及退市风险警示情形相应年度次一年度的年度报告前参照本条前两款相关要求执行。</w:t>
      </w:r>
    </w:p>
    <w:p>
      <w:pPr>
        <w:spacing w:line="560" w:lineRule="exact"/>
        <w:ind w:firstLine="640" w:firstLineChars="200"/>
        <w:rPr>
          <w:rFonts w:ascii="仿宋_GB2312" w:hAnsi="Arial Unicode MS" w:eastAsia="仿宋_GB2312" w:cs="Arial Unicode MS"/>
          <w:color w:val="000000"/>
          <w:sz w:val="32"/>
          <w:szCs w:val="32"/>
        </w:rPr>
      </w:pPr>
      <w:r>
        <w:rPr>
          <w:rFonts w:hint="eastAsia" w:ascii="仿宋_GB2312" w:hAnsi="黑体" w:eastAsia="仿宋_GB2312"/>
          <w:sz w:val="32"/>
          <w:szCs w:val="32"/>
        </w:rPr>
        <w:t>上市公司因第12.4.4条规定的标准，其股票被实施退市风险警示的，在其股票被实施退市风险警示期间，上市公司应当每个月披露一次风险提示公告，提示其股票可能被终止上市的风险。</w:t>
      </w:r>
    </w:p>
    <w:p>
      <w:pPr>
        <w:numPr>
          <w:ilvl w:val="2"/>
          <w:numId w:val="49"/>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上市公司股票因第</w:t>
      </w:r>
      <w:r>
        <w:rPr>
          <w:rFonts w:ascii="仿宋_GB2312" w:hAnsi="Arial Unicode MS" w:eastAsia="仿宋_GB2312" w:cs="Arial Unicode MS"/>
          <w:color w:val="000000"/>
          <w:sz w:val="32"/>
          <w:szCs w:val="32"/>
        </w:rPr>
        <w:t>12.4.2条</w:t>
      </w:r>
      <w:r>
        <w:rPr>
          <w:rFonts w:hint="eastAsia" w:ascii="仿宋_GB2312" w:hAnsi="Arial Unicode MS" w:eastAsia="仿宋_GB2312" w:cs="Arial Unicode MS"/>
          <w:color w:val="000000"/>
          <w:sz w:val="32"/>
          <w:szCs w:val="32"/>
        </w:rPr>
        <w:t>被实施退市风险警示后，最近一个会计年度未出现下列情形</w:t>
      </w:r>
      <w:r>
        <w:rPr>
          <w:rFonts w:ascii="仿宋_GB2312" w:hAnsi="Arial Unicode MS" w:eastAsia="仿宋_GB2312" w:cs="Arial Unicode MS"/>
          <w:color w:val="000000"/>
          <w:sz w:val="32"/>
          <w:szCs w:val="32"/>
        </w:rPr>
        <w:t>的</w:t>
      </w:r>
      <w:r>
        <w:rPr>
          <w:rFonts w:hint="eastAsia" w:ascii="仿宋_GB2312" w:hAnsi="Arial Unicode MS" w:eastAsia="仿宋_GB2312" w:cs="Arial Unicode MS"/>
          <w:color w:val="000000"/>
          <w:sz w:val="32"/>
          <w:szCs w:val="32"/>
        </w:rPr>
        <w:t>，公司可以在年度报告披露后5个交易日内，向本所申请撤销对其股票实施的退市风险警示并</w:t>
      </w:r>
      <w:r>
        <w:rPr>
          <w:rFonts w:ascii="仿宋_GB2312" w:hAnsi="Arial Unicode MS" w:eastAsia="仿宋_GB2312" w:cs="Arial Unicode MS"/>
          <w:color w:val="000000"/>
          <w:sz w:val="32"/>
          <w:szCs w:val="32"/>
        </w:rPr>
        <w:t>披露</w:t>
      </w:r>
      <w:r>
        <w:rPr>
          <w:rFonts w:hint="eastAsia" w:ascii="仿宋_GB2312" w:hAnsi="Arial Unicode MS" w:eastAsia="仿宋_GB2312" w:cs="Arial Unicode MS"/>
          <w:color w:val="000000"/>
          <w:sz w:val="32"/>
          <w:szCs w:val="32"/>
        </w:rPr>
        <w:t>：</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w:t>
      </w:r>
      <w:r>
        <w:rPr>
          <w:rFonts w:ascii="仿宋_GB2312" w:hAnsi="黑体" w:eastAsia="仿宋_GB2312"/>
          <w:sz w:val="32"/>
          <w:szCs w:val="32"/>
        </w:rPr>
        <w:t>）</w:t>
      </w:r>
      <w:r>
        <w:rPr>
          <w:rFonts w:hint="eastAsia" w:ascii="仿宋_GB2312" w:hAnsi="黑体" w:eastAsia="仿宋_GB2312"/>
          <w:sz w:val="32"/>
          <w:szCs w:val="32"/>
        </w:rPr>
        <w:t>第12.4.2条第一款第一项至第三项规定的任一情形；</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（二）年度财务会计报告被出具保留意见审计报告；</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财务报告内部控制被出具无法表示意见或者否定意见的审计报告，或者未按照相关规定披露财务报告内部控制审计报告，但公司因进行破产重整、重组上市或者重大资产重组，按照相关规定无法披露财务报告内部控制审计报告的除外；</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（四）未在法定期限内披露年度报告；</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（五）半数以上董事无法保证公司所披露年度报告的真实性、准确性和完整性，</w:t>
      </w:r>
      <w:r>
        <w:rPr>
          <w:rFonts w:hint="eastAsia" w:ascii="仿宋_GB2312" w:hAnsi="Arial Unicode MS" w:eastAsia="仿宋_GB2312" w:cs="Arial Unicode MS"/>
          <w:color w:val="000000"/>
          <w:sz w:val="32"/>
          <w:szCs w:val="32"/>
        </w:rPr>
        <w:t>且未在法定期限内改正</w:t>
      </w:r>
      <w:r>
        <w:rPr>
          <w:rFonts w:hint="eastAsia" w:ascii="仿宋_GB2312" w:hAnsi="黑体" w:eastAsia="仿宋_GB2312"/>
          <w:sz w:val="32"/>
          <w:szCs w:val="32"/>
        </w:rPr>
        <w:t>。</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上市公司股票因第1</w:t>
      </w:r>
      <w:r>
        <w:rPr>
          <w:rFonts w:ascii="仿宋_GB2312" w:hAnsi="黑体" w:eastAsia="仿宋_GB2312"/>
          <w:sz w:val="32"/>
          <w:szCs w:val="32"/>
        </w:rPr>
        <w:t>2.4.2</w:t>
      </w:r>
      <w:r>
        <w:rPr>
          <w:rFonts w:hint="eastAsia" w:ascii="仿宋_GB2312" w:hAnsi="黑体" w:eastAsia="仿宋_GB2312"/>
          <w:sz w:val="32"/>
          <w:szCs w:val="32"/>
        </w:rPr>
        <w:t>条第一款规定情形被实施退市风险警示后，最近一个会计年度经审计利润总额、净利润或者扣除非经常性损益后的净利润孰低者为负值的，公司应当在年度报告中披露营业收入扣除情况及扣除后的营业收入金额,负责审计的会计师事务所就公司营业收入扣除事项是否符合第1</w:t>
      </w:r>
      <w:r>
        <w:rPr>
          <w:rFonts w:ascii="仿宋_GB2312" w:hAnsi="黑体" w:eastAsia="仿宋_GB2312"/>
          <w:sz w:val="32"/>
          <w:szCs w:val="32"/>
        </w:rPr>
        <w:t>2.4.</w:t>
      </w:r>
      <w:r>
        <w:rPr>
          <w:rFonts w:hint="eastAsia" w:ascii="仿宋_GB2312" w:hAnsi="黑体" w:eastAsia="仿宋_GB2312"/>
          <w:sz w:val="32"/>
          <w:szCs w:val="32"/>
        </w:rPr>
        <w:t>3条规定及扣除后的营业收入金额出具专项核查意见。</w:t>
      </w:r>
    </w:p>
    <w:p>
      <w:pPr>
        <w:tabs>
          <w:tab w:val="left" w:pos="1560"/>
        </w:tabs>
        <w:snapToGrid w:val="0"/>
        <w:spacing w:line="560" w:lineRule="exact"/>
        <w:ind w:firstLine="640" w:firstLineChars="200"/>
        <w:rPr>
          <w:rFonts w:ascii="仿宋_GB2312" w:hAnsi="黑体" w:eastAsia="仿宋_GB2312"/>
          <w:sz w:val="32"/>
          <w:szCs w:val="32"/>
        </w:rPr>
      </w:pPr>
      <w:r>
        <w:rPr>
          <w:rFonts w:ascii="仿宋_GB2312" w:hAnsi="黑体" w:eastAsia="仿宋_GB2312"/>
          <w:sz w:val="32"/>
          <w:szCs w:val="32"/>
        </w:rPr>
        <w:t>上市公司因财务会计数据被追溯重述或者行政处罚导致相关财务指标符合12.4.2条第一款第一项、第二项规定被实施退市风险警示的，</w:t>
      </w:r>
      <w:r>
        <w:rPr>
          <w:rFonts w:hint="eastAsia" w:ascii="仿宋_GB2312" w:hAnsi="黑体" w:eastAsia="仿宋_GB2312"/>
          <w:sz w:val="32"/>
          <w:szCs w:val="32"/>
        </w:rPr>
        <w:t>最近一个</w:t>
      </w:r>
      <w:r>
        <w:rPr>
          <w:rFonts w:ascii="仿宋_GB2312" w:hAnsi="黑体" w:eastAsia="仿宋_GB2312"/>
          <w:sz w:val="32"/>
          <w:szCs w:val="32"/>
        </w:rPr>
        <w:t>会计年度指前述财务指标</w:t>
      </w:r>
      <w:r>
        <w:rPr>
          <w:rFonts w:hint="eastAsia" w:ascii="仿宋_GB2312" w:hAnsi="黑体" w:eastAsia="仿宋_GB2312"/>
          <w:sz w:val="32"/>
          <w:szCs w:val="32"/>
        </w:rPr>
        <w:t>所属</w:t>
      </w:r>
      <w:r>
        <w:rPr>
          <w:rFonts w:ascii="仿宋_GB2312" w:hAnsi="黑体" w:eastAsia="仿宋_GB2312"/>
          <w:sz w:val="32"/>
          <w:szCs w:val="32"/>
        </w:rPr>
        <w:t>会计年度的下一个会计年度。</w:t>
      </w:r>
    </w:p>
    <w:p>
      <w:pPr>
        <w:tabs>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研发型上市公司因第</w:t>
      </w:r>
      <w:r>
        <w:rPr>
          <w:rFonts w:ascii="仿宋_GB2312" w:hAnsi="Arial Unicode MS" w:eastAsia="仿宋_GB2312" w:cs="Arial Unicode MS"/>
          <w:color w:val="000000"/>
          <w:sz w:val="32"/>
          <w:szCs w:val="32"/>
        </w:rPr>
        <w:t>12.4.</w:t>
      </w:r>
      <w:r>
        <w:rPr>
          <w:rFonts w:hint="eastAsia" w:ascii="仿宋_GB2312" w:hAnsi="Arial Unicode MS" w:eastAsia="仿宋_GB2312" w:cs="Arial Unicode MS"/>
          <w:color w:val="000000"/>
          <w:sz w:val="32"/>
          <w:szCs w:val="32"/>
        </w:rPr>
        <w:t>4</w:t>
      </w:r>
      <w:r>
        <w:rPr>
          <w:rFonts w:ascii="仿宋_GB2312" w:hAnsi="Arial Unicode MS" w:eastAsia="仿宋_GB2312" w:cs="Arial Unicode MS"/>
          <w:color w:val="000000"/>
          <w:sz w:val="32"/>
          <w:szCs w:val="32"/>
        </w:rPr>
        <w:t>条被实施退市风险警示后，</w:t>
      </w:r>
      <w:r>
        <w:rPr>
          <w:rFonts w:hint="eastAsia" w:ascii="仿宋_GB2312" w:hAnsi="Arial Unicode MS" w:eastAsia="仿宋_GB2312" w:cs="Arial Unicode MS"/>
          <w:color w:val="000000"/>
          <w:sz w:val="32"/>
          <w:szCs w:val="32"/>
        </w:rPr>
        <w:t>自股票被实施退市风险警示之日起</w:t>
      </w:r>
      <w:r>
        <w:rPr>
          <w:rFonts w:ascii="仿宋_GB2312" w:hAnsi="Arial Unicode MS" w:eastAsia="仿宋_GB2312" w:cs="Arial Unicode MS"/>
          <w:color w:val="000000"/>
          <w:sz w:val="32"/>
          <w:szCs w:val="32"/>
        </w:rPr>
        <w:t>6</w:t>
      </w:r>
      <w:r>
        <w:rPr>
          <w:rFonts w:hint="eastAsia" w:ascii="仿宋_GB2312" w:hAnsi="Arial Unicode MS" w:eastAsia="仿宋_GB2312" w:cs="Arial Unicode MS"/>
          <w:color w:val="000000"/>
          <w:sz w:val="32"/>
          <w:szCs w:val="32"/>
        </w:rPr>
        <w:t>个月内，公司市值及相关产品、业务等指标符合本规则第2</w:t>
      </w:r>
      <w:r>
        <w:rPr>
          <w:rFonts w:ascii="仿宋_GB2312" w:hAnsi="Arial Unicode MS" w:eastAsia="仿宋_GB2312" w:cs="Arial Unicode MS"/>
          <w:color w:val="000000"/>
          <w:sz w:val="32"/>
          <w:szCs w:val="32"/>
        </w:rPr>
        <w:t>.1.2</w:t>
      </w:r>
      <w:r>
        <w:rPr>
          <w:rFonts w:hint="eastAsia" w:ascii="仿宋_GB2312" w:hAnsi="Arial Unicode MS" w:eastAsia="仿宋_GB2312" w:cs="Arial Unicode MS"/>
          <w:color w:val="000000"/>
          <w:sz w:val="32"/>
          <w:szCs w:val="32"/>
        </w:rPr>
        <w:t>条第五项规定要求的，应当在符合条件时及时披露，并说明是否向本所申请撤销退市风险警示。公司可以</w:t>
      </w:r>
      <w:r>
        <w:rPr>
          <w:rFonts w:hint="eastAsia" w:ascii="仿宋_GB2312" w:hAnsi="黑体" w:eastAsia="仿宋_GB2312"/>
          <w:sz w:val="32"/>
          <w:szCs w:val="32"/>
        </w:rPr>
        <w:t>在披露之日起的5个交易日内，</w:t>
      </w:r>
      <w:r>
        <w:rPr>
          <w:rFonts w:hint="eastAsia" w:ascii="仿宋_GB2312" w:hAnsi="Arial Unicode MS" w:eastAsia="仿宋_GB2312" w:cs="Arial Unicode MS"/>
          <w:color w:val="000000"/>
          <w:sz w:val="32"/>
          <w:szCs w:val="32"/>
        </w:rPr>
        <w:t>向本所申请撤销对其股票实施的退市风险警示并披露。</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上市公司不符合本条规定的撤销退市风险警示条件或者未在规定期限内申请撤销退市风险警示的，本所决定终止其股票上市。</w:t>
      </w:r>
    </w:p>
    <w:p>
      <w:pPr>
        <w:numPr>
          <w:ilvl w:val="2"/>
          <w:numId w:val="49"/>
        </w:numPr>
        <w:tabs>
          <w:tab w:val="left" w:pos="1560"/>
        </w:tabs>
        <w:snapToGrid w:val="0"/>
        <w:spacing w:line="560" w:lineRule="exact"/>
        <w:ind w:left="0"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上市公司提交完备的申请材料的，本所在15个交易日内作出是否撤销退市风险警示的决定。在此期间，本所要求公司提供补充材料的，公司应当在本所规定期限内提供有关材料。公司补充材料期间不计入本所作出有关决定的期限。</w:t>
      </w:r>
    </w:p>
    <w:p>
      <w:pPr>
        <w:numPr>
          <w:ilvl w:val="2"/>
          <w:numId w:val="49"/>
        </w:numPr>
        <w:tabs>
          <w:tab w:val="left" w:pos="1560"/>
        </w:tabs>
        <w:snapToGrid w:val="0"/>
        <w:spacing w:line="560" w:lineRule="exact"/>
        <w:ind w:left="0"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本所决定撤销退市风险警示的，上市公司应当按照本所要求在</w:t>
      </w:r>
      <w:r>
        <w:rPr>
          <w:rFonts w:ascii="仿宋_GB2312" w:hAnsi="Arial Unicode MS" w:eastAsia="仿宋_GB2312" w:cs="Arial Unicode MS"/>
          <w:color w:val="000000"/>
          <w:sz w:val="32"/>
          <w:szCs w:val="32"/>
        </w:rPr>
        <w:t>撤销退市风险警示</w:t>
      </w:r>
      <w:r>
        <w:rPr>
          <w:rFonts w:hint="eastAsia" w:ascii="仿宋_GB2312" w:hAnsi="黑体" w:eastAsia="仿宋_GB2312"/>
          <w:sz w:val="32"/>
          <w:szCs w:val="32"/>
        </w:rPr>
        <w:t>之前一个交易日</w:t>
      </w:r>
      <w:r>
        <w:rPr>
          <w:rFonts w:ascii="仿宋_GB2312" w:hAnsi="Arial Unicode MS" w:eastAsia="仿宋_GB2312" w:cs="Arial Unicode MS"/>
          <w:color w:val="000000"/>
          <w:sz w:val="32"/>
          <w:szCs w:val="32"/>
        </w:rPr>
        <w:t>披露</w:t>
      </w:r>
      <w:r>
        <w:rPr>
          <w:rFonts w:hint="eastAsia" w:ascii="仿宋_GB2312" w:hAnsi="Arial Unicode MS" w:eastAsia="仿宋_GB2312" w:cs="Arial Unicode MS"/>
          <w:color w:val="000000"/>
          <w:sz w:val="32"/>
          <w:szCs w:val="32"/>
        </w:rPr>
        <w:t>公告。公司股票在公告披露日停牌一天，本所自复牌之日起撤销对公司股票实施的退市风险警示。</w:t>
      </w:r>
    </w:p>
    <w:p>
      <w:pPr>
        <w:numPr>
          <w:ilvl w:val="2"/>
          <w:numId w:val="49"/>
        </w:numPr>
        <w:tabs>
          <w:tab w:val="left" w:pos="1560"/>
        </w:tabs>
        <w:snapToGrid w:val="0"/>
        <w:spacing w:line="560" w:lineRule="exact"/>
        <w:ind w:left="0"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本所决定不予撤销退市风险警示的，</w:t>
      </w:r>
      <w:r>
        <w:rPr>
          <w:rFonts w:hint="eastAsia" w:ascii="仿宋_GB2312" w:hAnsi="黑体" w:eastAsia="仿宋_GB2312"/>
          <w:sz w:val="32"/>
          <w:szCs w:val="32"/>
        </w:rPr>
        <w:t>向上市公司发出拟终止其股票上市的事先告知书，</w:t>
      </w:r>
      <w:r>
        <w:rPr>
          <w:rFonts w:hint="eastAsia" w:ascii="仿宋_GB2312" w:hAnsi="Arial Unicode MS" w:eastAsia="仿宋_GB2312" w:cs="Arial Unicode MS"/>
          <w:color w:val="000000"/>
          <w:sz w:val="32"/>
          <w:szCs w:val="32"/>
        </w:rPr>
        <w:t>公司应当在收到本所有关书面通知的次一交易日披露公告。公司未按规定公告的，本所可以交易所公告的形式予以公告。公司股票自公告披露之日起停牌。</w:t>
      </w:r>
    </w:p>
    <w:p>
      <w:pPr>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上市公司虽满足第</w:t>
      </w:r>
      <w:r>
        <w:rPr>
          <w:rFonts w:ascii="仿宋_GB2312" w:hAnsi="Arial Unicode MS" w:eastAsia="仿宋_GB2312" w:cs="Arial Unicode MS"/>
          <w:color w:val="000000"/>
          <w:sz w:val="32"/>
          <w:szCs w:val="32"/>
        </w:rPr>
        <w:t>12.</w:t>
      </w:r>
      <w:r>
        <w:rPr>
          <w:rFonts w:hint="eastAsia" w:ascii="仿宋_GB2312" w:hAnsi="Arial Unicode MS" w:eastAsia="仿宋_GB2312" w:cs="Arial Unicode MS"/>
          <w:color w:val="000000"/>
          <w:sz w:val="32"/>
          <w:szCs w:val="32"/>
        </w:rPr>
        <w:t>4</w:t>
      </w:r>
      <w:r>
        <w:rPr>
          <w:rFonts w:ascii="仿宋_GB2312" w:hAnsi="Arial Unicode MS" w:eastAsia="仿宋_GB2312" w:cs="Arial Unicode MS"/>
          <w:color w:val="000000"/>
          <w:sz w:val="32"/>
          <w:szCs w:val="32"/>
        </w:rPr>
        <w:t>.</w:t>
      </w:r>
      <w:r>
        <w:rPr>
          <w:rFonts w:hint="eastAsia" w:ascii="仿宋_GB2312" w:hAnsi="Arial Unicode MS" w:eastAsia="仿宋_GB2312" w:cs="Arial Unicode MS"/>
          <w:color w:val="000000"/>
          <w:sz w:val="32"/>
          <w:szCs w:val="32"/>
        </w:rPr>
        <w:t>10</w:t>
      </w:r>
      <w:r>
        <w:rPr>
          <w:rFonts w:ascii="仿宋_GB2312" w:hAnsi="Arial Unicode MS" w:eastAsia="仿宋_GB2312" w:cs="Arial Unicode MS"/>
          <w:color w:val="000000"/>
          <w:sz w:val="32"/>
          <w:szCs w:val="32"/>
        </w:rPr>
        <w:t>条规定</w:t>
      </w:r>
      <w:r>
        <w:rPr>
          <w:rFonts w:hint="eastAsia" w:ascii="仿宋_GB2312" w:hAnsi="Arial Unicode MS" w:eastAsia="仿宋_GB2312" w:cs="Arial Unicode MS"/>
          <w:color w:val="000000"/>
          <w:sz w:val="32"/>
          <w:szCs w:val="32"/>
        </w:rPr>
        <w:t>的</w:t>
      </w:r>
      <w:r>
        <w:rPr>
          <w:rFonts w:ascii="仿宋_GB2312" w:hAnsi="Arial Unicode MS" w:eastAsia="仿宋_GB2312" w:cs="Arial Unicode MS"/>
          <w:color w:val="000000"/>
          <w:sz w:val="32"/>
          <w:szCs w:val="32"/>
        </w:rPr>
        <w:t>退市风险警示的撤销条件，但具有其他退市风险警示情形的，按其他退市风险警示的程序执行，不予撤销退市风险警示。</w:t>
      </w:r>
    </w:p>
    <w:p>
      <w:pPr>
        <w:numPr>
          <w:ilvl w:val="2"/>
          <w:numId w:val="49"/>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上市公司存在第12.4.10条第一款第一</w:t>
      </w:r>
      <w:r>
        <w:rPr>
          <w:rFonts w:ascii="仿宋_GB2312" w:hAnsi="黑体" w:eastAsia="仿宋_GB2312"/>
          <w:sz w:val="32"/>
          <w:szCs w:val="32"/>
        </w:rPr>
        <w:t>项</w:t>
      </w:r>
      <w:r>
        <w:rPr>
          <w:rFonts w:hint="eastAsia" w:ascii="仿宋_GB2312" w:hAnsi="黑体" w:eastAsia="仿宋_GB2312"/>
          <w:sz w:val="32"/>
          <w:szCs w:val="32"/>
        </w:rPr>
        <w:t>至第三项情形</w:t>
      </w:r>
      <w:r>
        <w:rPr>
          <w:rFonts w:ascii="仿宋_GB2312" w:hAnsi="黑体" w:eastAsia="仿宋_GB2312"/>
          <w:sz w:val="32"/>
          <w:szCs w:val="32"/>
        </w:rPr>
        <w:t>，导致未</w:t>
      </w:r>
      <w:r>
        <w:rPr>
          <w:rFonts w:hint="eastAsia" w:ascii="仿宋_GB2312" w:hAnsi="黑体" w:eastAsia="仿宋_GB2312"/>
          <w:sz w:val="32"/>
          <w:szCs w:val="32"/>
        </w:rPr>
        <w:t>满足该条规定</w:t>
      </w:r>
      <w:r>
        <w:rPr>
          <w:rFonts w:ascii="仿宋_GB2312" w:hAnsi="黑体" w:eastAsia="仿宋_GB2312"/>
          <w:sz w:val="32"/>
          <w:szCs w:val="32"/>
        </w:rPr>
        <w:t>的</w:t>
      </w:r>
      <w:r>
        <w:rPr>
          <w:rFonts w:hint="eastAsia" w:ascii="仿宋_GB2312" w:hAnsi="黑体" w:eastAsia="仿宋_GB2312"/>
          <w:sz w:val="32"/>
          <w:szCs w:val="32"/>
        </w:rPr>
        <w:t>撤销退市风险警示条件的，应当自董事会审议通过年度报告</w:t>
      </w:r>
      <w:r>
        <w:rPr>
          <w:rFonts w:hint="eastAsia" w:ascii="仿宋_GB2312" w:hAnsi="黑体" w:eastAsia="仿宋_GB2312" w:cs="Arial Unicode MS"/>
          <w:color w:val="000000"/>
          <w:sz w:val="32"/>
          <w:szCs w:val="32"/>
        </w:rPr>
        <w:t>后，及时披露年度报告，同时披露公司股票可能被终止上市的风险提示公告。公司</w:t>
      </w:r>
      <w:r>
        <w:rPr>
          <w:rFonts w:ascii="仿宋_GB2312" w:hAnsi="黑体" w:eastAsia="仿宋_GB2312" w:cs="Arial Unicode MS"/>
          <w:color w:val="000000"/>
          <w:sz w:val="32"/>
          <w:szCs w:val="32"/>
        </w:rPr>
        <w:t>股票</w:t>
      </w:r>
      <w:r>
        <w:rPr>
          <w:rFonts w:hint="eastAsia" w:ascii="仿宋_GB2312" w:hAnsi="黑体" w:eastAsia="仿宋_GB2312" w:cs="Arial Unicode MS"/>
          <w:color w:val="000000"/>
          <w:sz w:val="32"/>
          <w:szCs w:val="32"/>
        </w:rPr>
        <w:t>自年度报告</w:t>
      </w:r>
      <w:r>
        <w:rPr>
          <w:rFonts w:hint="eastAsia" w:ascii="仿宋_GB2312" w:hAnsi="黑体" w:eastAsia="仿宋_GB2312"/>
          <w:sz w:val="32"/>
          <w:szCs w:val="32"/>
        </w:rPr>
        <w:t>披露之日起停牌。</w:t>
      </w:r>
      <w:r>
        <w:rPr>
          <w:rFonts w:hint="eastAsia" w:ascii="仿宋_GB2312" w:hAnsi="Arial Unicode MS" w:eastAsia="仿宋_GB2312" w:cs="Arial Unicode MS"/>
          <w:color w:val="000000"/>
          <w:sz w:val="32"/>
          <w:szCs w:val="32"/>
        </w:rPr>
        <w:t>披露日为非交易日的，自披露后的第一个交易日起停牌。</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上市公司存在第1</w:t>
      </w:r>
      <w:r>
        <w:rPr>
          <w:rFonts w:ascii="仿宋_GB2312" w:hAnsi="黑体" w:eastAsia="仿宋_GB2312"/>
          <w:sz w:val="32"/>
          <w:szCs w:val="32"/>
        </w:rPr>
        <w:t>2.4.</w:t>
      </w:r>
      <w:r>
        <w:rPr>
          <w:rFonts w:hint="eastAsia" w:ascii="仿宋_GB2312" w:hAnsi="黑体" w:eastAsia="仿宋_GB2312"/>
          <w:sz w:val="32"/>
          <w:szCs w:val="32"/>
        </w:rPr>
        <w:t>10条第一款</w:t>
      </w:r>
      <w:r>
        <w:rPr>
          <w:rFonts w:ascii="仿宋_GB2312" w:hAnsi="黑体" w:eastAsia="仿宋_GB2312"/>
          <w:sz w:val="32"/>
          <w:szCs w:val="32"/>
        </w:rPr>
        <w:t>第</w:t>
      </w:r>
      <w:r>
        <w:rPr>
          <w:rFonts w:hint="eastAsia" w:ascii="仿宋_GB2312" w:hAnsi="黑体" w:eastAsia="仿宋_GB2312"/>
          <w:sz w:val="32"/>
          <w:szCs w:val="32"/>
        </w:rPr>
        <w:t>四</w:t>
      </w:r>
      <w:r>
        <w:rPr>
          <w:rFonts w:ascii="仿宋_GB2312" w:hAnsi="黑体" w:eastAsia="仿宋_GB2312"/>
          <w:sz w:val="32"/>
          <w:szCs w:val="32"/>
        </w:rPr>
        <w:t>项情形</w:t>
      </w:r>
      <w:r>
        <w:rPr>
          <w:rFonts w:hint="eastAsia" w:ascii="仿宋_GB2312" w:hAnsi="黑体" w:eastAsia="仿宋_GB2312"/>
          <w:sz w:val="32"/>
          <w:szCs w:val="32"/>
        </w:rPr>
        <w:t>，导致未满足该条撤销退市风险警示条件的，公司应当在法定期限届满的次一交易日披露公司股票可能被终止上市的风险提示公告。公司</w:t>
      </w:r>
      <w:r>
        <w:rPr>
          <w:rFonts w:ascii="仿宋_GB2312" w:hAnsi="黑体" w:eastAsia="仿宋_GB2312"/>
          <w:sz w:val="32"/>
          <w:szCs w:val="32"/>
        </w:rPr>
        <w:t>股票</w:t>
      </w:r>
      <w:r>
        <w:rPr>
          <w:rFonts w:hint="eastAsia" w:ascii="仿宋_GB2312" w:hAnsi="黑体" w:eastAsia="仿宋_GB2312"/>
          <w:sz w:val="32"/>
          <w:szCs w:val="32"/>
        </w:rPr>
        <w:t>自公告披露之日起停牌。</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w:t>
      </w:r>
      <w:r>
        <w:rPr>
          <w:rFonts w:hint="eastAsia" w:ascii="仿宋_GB2312" w:hAnsi="Arial Unicode MS" w:eastAsia="仿宋_GB2312" w:cs="Arial Unicode MS"/>
          <w:color w:val="000000"/>
          <w:sz w:val="32"/>
          <w:szCs w:val="32"/>
        </w:rPr>
        <w:t>股票因第</w:t>
      </w:r>
      <w:r>
        <w:rPr>
          <w:rFonts w:ascii="仿宋_GB2312" w:hAnsi="Arial Unicode MS" w:eastAsia="仿宋_GB2312" w:cs="Arial Unicode MS"/>
          <w:color w:val="000000"/>
          <w:sz w:val="32"/>
          <w:szCs w:val="32"/>
        </w:rPr>
        <w:t>12.4.2条</w:t>
      </w:r>
      <w:r>
        <w:rPr>
          <w:rFonts w:hint="eastAsia" w:ascii="仿宋_GB2312" w:hAnsi="Arial Unicode MS" w:eastAsia="仿宋_GB2312" w:cs="Arial Unicode MS"/>
          <w:color w:val="000000"/>
          <w:sz w:val="32"/>
          <w:szCs w:val="32"/>
        </w:rPr>
        <w:t>被实施退市风险警示后，最近一个会计年度出现</w:t>
      </w:r>
      <w:r>
        <w:rPr>
          <w:rFonts w:hint="eastAsia" w:ascii="仿宋_GB2312" w:hAnsi="黑体" w:eastAsia="仿宋_GB2312"/>
          <w:sz w:val="32"/>
          <w:szCs w:val="32"/>
        </w:rPr>
        <w:t>半数以上董事无法保证公司所披露年度报告的真实性、准确性和完整性情形的</w:t>
      </w:r>
      <w:r>
        <w:rPr>
          <w:rFonts w:hint="eastAsia" w:ascii="仿宋_GB2312" w:hAnsi="Arial Unicode MS" w:eastAsia="仿宋_GB2312" w:cs="Arial Unicode MS"/>
          <w:color w:val="000000"/>
          <w:sz w:val="32"/>
          <w:szCs w:val="32"/>
        </w:rPr>
        <w:t>，</w:t>
      </w:r>
      <w:r>
        <w:rPr>
          <w:rFonts w:hint="eastAsia" w:ascii="仿宋_GB2312" w:hAnsi="黑体" w:eastAsia="仿宋_GB2312"/>
          <w:sz w:val="32"/>
          <w:szCs w:val="32"/>
        </w:rPr>
        <w:t>应当及时披露相关情况并披露公司股票可能被终止上市的风险提示公告。法定期限届满仍未改正的，公司应当在法定期限届满的次一交易日披露公司股票可能被终止上市的风险提示公告。公司股票自公告披露之日起停牌。</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研发型上市公司在被实施退市风险警示后6个月内未满足第12.4.10条第四款规定的退市风险警示撤销条件的，应当在该期限届满日次一交易日披露公司股票可能被终止上市的风险提示公告。公司</w:t>
      </w:r>
      <w:r>
        <w:rPr>
          <w:rFonts w:ascii="仿宋_GB2312" w:hAnsi="黑体" w:eastAsia="仿宋_GB2312"/>
          <w:sz w:val="32"/>
          <w:szCs w:val="32"/>
        </w:rPr>
        <w:t>股票</w:t>
      </w:r>
      <w:r>
        <w:rPr>
          <w:rFonts w:hint="eastAsia" w:ascii="仿宋_GB2312" w:hAnsi="黑体" w:eastAsia="仿宋_GB2312"/>
          <w:sz w:val="32"/>
          <w:szCs w:val="32"/>
        </w:rPr>
        <w:t>自公告披露之日起停牌。</w:t>
      </w:r>
    </w:p>
    <w:p>
      <w:pPr>
        <w:tabs>
          <w:tab w:val="left" w:pos="1560"/>
        </w:tabs>
        <w:snapToGrid w:val="0"/>
        <w:spacing w:line="560" w:lineRule="exact"/>
        <w:rPr>
          <w:rFonts w:ascii="仿宋_GB2312" w:hAnsi="黑体" w:eastAsia="仿宋_GB2312"/>
          <w:sz w:val="32"/>
          <w:szCs w:val="32"/>
        </w:rPr>
      </w:pPr>
      <w:r>
        <w:rPr>
          <w:rFonts w:hint="eastAsia" w:ascii="仿宋_GB2312" w:hAnsi="黑体" w:eastAsia="仿宋_GB2312"/>
          <w:sz w:val="32"/>
          <w:szCs w:val="32"/>
        </w:rPr>
        <w:t xml:space="preserve">    上市公司虽满足第</w:t>
      </w:r>
      <w:r>
        <w:rPr>
          <w:rFonts w:ascii="仿宋_GB2312" w:hAnsi="黑体" w:eastAsia="仿宋_GB2312"/>
          <w:sz w:val="32"/>
          <w:szCs w:val="32"/>
        </w:rPr>
        <w:t>12.4.</w:t>
      </w:r>
      <w:r>
        <w:rPr>
          <w:rFonts w:hint="eastAsia" w:ascii="仿宋_GB2312" w:hAnsi="黑体" w:eastAsia="仿宋_GB2312"/>
          <w:sz w:val="32"/>
          <w:szCs w:val="32"/>
        </w:rPr>
        <w:t>10条规定的退市风险警示撤销条件，但未在该条规定的相应期限内向本所申请撤销退市风险警示的，公司应当在相应期限届满的次一交易日披露公司股票可能被终止上市的风险提示公告。公司股票自公告披露之日起停牌。</w:t>
      </w:r>
    </w:p>
    <w:p>
      <w:pPr>
        <w:numPr>
          <w:ilvl w:val="2"/>
          <w:numId w:val="49"/>
        </w:numPr>
        <w:tabs>
          <w:tab w:val="left" w:pos="1560"/>
        </w:tabs>
        <w:snapToGrid w:val="0"/>
        <w:spacing w:line="560" w:lineRule="exact"/>
        <w:ind w:left="0"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本所根据第</w:t>
      </w:r>
      <w:r>
        <w:rPr>
          <w:rFonts w:ascii="仿宋_GB2312" w:hAnsi="宋体" w:eastAsia="仿宋_GB2312" w:cs="宋体"/>
          <w:kern w:val="0"/>
          <w:sz w:val="32"/>
          <w:szCs w:val="32"/>
        </w:rPr>
        <w:t>12.4.1</w:t>
      </w:r>
      <w:r>
        <w:rPr>
          <w:rFonts w:hint="eastAsia" w:ascii="仿宋_GB2312" w:hAnsi="宋体" w:eastAsia="仿宋_GB2312" w:cs="宋体"/>
          <w:kern w:val="0"/>
          <w:sz w:val="32"/>
          <w:szCs w:val="32"/>
        </w:rPr>
        <w:t>4</w:t>
      </w:r>
      <w:r>
        <w:rPr>
          <w:rFonts w:ascii="仿宋_GB2312" w:hAnsi="宋体" w:eastAsia="仿宋_GB2312" w:cs="宋体"/>
          <w:kern w:val="0"/>
          <w:sz w:val="32"/>
          <w:szCs w:val="32"/>
        </w:rPr>
        <w:t>条对公司股票实施停牌的，自停牌之日起5个交易日内，向公司发出拟终止其股票上市的事先告知书，上市公司应当及时披露。</w:t>
      </w:r>
    </w:p>
    <w:p>
      <w:pPr>
        <w:numPr>
          <w:ilvl w:val="2"/>
          <w:numId w:val="49"/>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宋体" w:eastAsia="仿宋_GB2312" w:cs="宋体"/>
          <w:kern w:val="0"/>
          <w:sz w:val="32"/>
          <w:szCs w:val="32"/>
        </w:rPr>
        <w:t>上市公司收到终止上市事先告知书后，可以根据本章第六节的规定提出听证、陈述和申辩。</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宋体" w:eastAsia="仿宋_GB2312" w:cs="宋体"/>
          <w:kern w:val="0"/>
          <w:sz w:val="32"/>
          <w:szCs w:val="32"/>
        </w:rPr>
        <w:t>本所上市委员会在前款规定的有关期限届满或者听证程序结束后15个交易日内，就是否终止公司股票上市事宜进行审议，</w:t>
      </w:r>
      <w:r>
        <w:rPr>
          <w:rFonts w:hint="eastAsia" w:ascii="仿宋_GB2312" w:hAnsi="仿宋_GB2312" w:eastAsia="仿宋_GB2312"/>
          <w:sz w:val="32"/>
          <w:szCs w:val="32"/>
        </w:rPr>
        <w:t>作出独立的专业判断并形成审议意见。</w:t>
      </w:r>
    </w:p>
    <w:p>
      <w:pPr>
        <w:widowControl/>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本所根据上市委员会的审议意见，作出是否终止股票上市的决定。</w:t>
      </w:r>
    </w:p>
    <w:p>
      <w:pPr>
        <w:numPr>
          <w:ilvl w:val="2"/>
          <w:numId w:val="49"/>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本所决定不对上市公司股票实施终止上市的，公司应当在收到本所相关决定后，及时披露并申请股票复牌。公司股票不存在其他退市风险警示情形的，自复牌之日起，本所撤销对公司股票实施的退市风险警示。</w:t>
      </w:r>
    </w:p>
    <w:p>
      <w:pPr>
        <w:numPr>
          <w:ilvl w:val="2"/>
          <w:numId w:val="49"/>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本所在作出终止股票上市的决定之日起2个交易日内，通知上市公司并披露相关公告，同时报中国证监会备案。</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上市公司应当在收到本所关于终止其股票上市决定后，及时披露股票终止上市公告。</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上市公司可以按照本章第六节的规定申请复核。</w:t>
      </w:r>
    </w:p>
    <w:p>
      <w:pPr>
        <w:numPr>
          <w:ilvl w:val="2"/>
          <w:numId w:val="49"/>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上市公司股票因触及本规则第12.4.2 条第一款第四项情形被终止上市，相关行政处罚决定被依法撤销或确认无效，或者因对违法行为性质、违法事实等的认定发生重大变化被依法变更的，参照本规则第12.2.11 条至第12.2.14 条规定的程序办理。</w:t>
      </w:r>
    </w:p>
    <w:p>
      <w:pPr>
        <w:pStyle w:val="36"/>
      </w:pPr>
      <w:bookmarkStart w:id="667" w:name="_Toc23495"/>
      <w:r>
        <w:rPr>
          <w:rFonts w:hint="eastAsia"/>
        </w:rPr>
        <w:t>第五节  规范类强制退市</w:t>
      </w:r>
      <w:bookmarkEnd w:id="667"/>
    </w:p>
    <w:p>
      <w:pPr>
        <w:numPr>
          <w:ilvl w:val="2"/>
          <w:numId w:val="50"/>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 xml:space="preserve"> 上市公司出现下列情形之一的，本所对其股票实施退市风险警示：</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 xml:space="preserve">（一）因财务会计报告存在重大会计差错或者虚假记载，被中国证监会责令改正但公司未在规定期限内改正，此后公司在股票停牌2个月内仍未改正； </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（二）未在法定期限内披露年度报告或者半年度报告，此后公司在股票停牌2个月内仍未披露；</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（三）因半数以上董事无法保证公司所披露半年度报告和年度报告的真实性、准确性和完整性，且未在法定期限内改正，此后股票停牌2个月内仍未改正；</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w:t>
      </w:r>
      <w:r>
        <w:rPr>
          <w:rFonts w:hint="eastAsia" w:ascii="仿宋_GB2312" w:eastAsia="仿宋_GB2312"/>
          <w:sz w:val="32"/>
          <w:szCs w:val="32"/>
        </w:rPr>
        <w:t>因信息披露或者规范运作等方面存在重大缺陷，被本所限期改正但公司未在规定期限内改正，</w:t>
      </w:r>
      <w:r>
        <w:rPr>
          <w:rFonts w:hint="eastAsia" w:ascii="仿宋_GB2312" w:hAnsi="黑体" w:eastAsia="仿宋_GB2312"/>
          <w:sz w:val="32"/>
          <w:szCs w:val="32"/>
        </w:rPr>
        <w:t>此后公司在股票停牌2个月内仍未改正；</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公司被控股股东（无控股股东，则为第一大股东）及其关联方非经营性占用资金，余额达到最近一期经审计净资产绝对值30%以上，或者金额达到2亿元以上，被中国证监会责令改正但公司未在规定期限内改正，此后公司在股票停牌2个月内仍未改正；</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（六）连续2个会计年度的财务报告内部控制被出具无法表示意见或者否定意见的审计报告，或者未按照规定披露财务报告内部控制审计报告；</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（七）因公司股本总额或股权分布发生变化，导致连续20个交易日不再具备上市条件，此后公司在股票停牌1个月内仍未解决；</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（八）公司可能被依法强制解散；</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（九）法院依法受理公司重整、和解和破产清算申请；</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（十）本所认定的其他情形。</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本条第一款第四项规定的</w:t>
      </w:r>
      <w:r>
        <w:rPr>
          <w:rFonts w:hint="eastAsia" w:ascii="仿宋_GB2312" w:eastAsia="仿宋_GB2312"/>
          <w:sz w:val="32"/>
          <w:szCs w:val="32"/>
        </w:rPr>
        <w:t>信息披露或者规范运作等方面存在重大缺陷</w:t>
      </w:r>
      <w:r>
        <w:rPr>
          <w:rFonts w:hint="eastAsia" w:ascii="仿宋_GB2312" w:hAnsi="黑体" w:eastAsia="仿宋_GB2312"/>
          <w:sz w:val="32"/>
          <w:szCs w:val="32"/>
        </w:rPr>
        <w:t>情形，具体包括以下情形：</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（一）本所失去公司有效信息来源；</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（二）公司拒不披露应当披露的重大信息；</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（三）公司严重扰乱信息披露秩序，并造成恶劣影响；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（四）公司控制权无序争夺，导致投资者无法获取公司有效信息；</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（五）本所认为公司存在其他信息披露或者规范运作缺陷且情节严重的。</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前款</w:t>
      </w:r>
      <w:r>
        <w:rPr>
          <w:rFonts w:ascii="仿宋_GB2312" w:hAnsi="黑体" w:eastAsia="仿宋_GB2312"/>
          <w:sz w:val="32"/>
          <w:szCs w:val="32"/>
        </w:rPr>
        <w:t>所述情形</w:t>
      </w:r>
      <w:r>
        <w:rPr>
          <w:rFonts w:hint="eastAsia" w:ascii="仿宋_GB2312" w:hAnsi="黑体" w:eastAsia="仿宋_GB2312"/>
          <w:sz w:val="32"/>
          <w:szCs w:val="32"/>
        </w:rPr>
        <w:t>由本所提请上市委员会审议，并根据上市委员会的审议意见作出认定。</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 xml:space="preserve"> 上市公司出现下列情形之一的，应当立即披露股票可能被实施退市风险警示的风险提示公告：</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（一）因财务会计报告存在重大会计差错或者虚假记载，被中国证监会责令改正；</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（二）未在法定期限内披露年度报告或者半年度报告；</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（三）半数以上董事无法保证年度报告或者半年度报告真实、准确、完整；</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（四）因信息披露或者规范运作等方面存在重大缺陷，被本所要求改正；</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（五）公司被控股股东（无控股股东，则为第一大股东）及其关联方非经营性占用资金，余额达到最近一期经审计净资产绝对值30%以上，或者金额达到2亿元以上，被中国证监会责令改正；</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（六）首个会计年度的财务报告内部控制被出具无法表示意见或者否定意见的审计报告，或者未按照规定披露财务报告内部控制审计报告；</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（七）连续10个交易日股本总额或者股权分布不再具备上市条件；</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公司按照前款第一项至第五项、第七项规定披露风险提示公告后，应当至少每10个交易日披露一次相关进展情况和风险提示公告，直至相应情形消除或者公司股票被本所实施退市风险警示。</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公司触及本条第一款第五项规定，在中国证监会责令改正期限内改正的，应当及时披露会计师事务所出具的专项核查意见等文件。</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公司按照本条第一款第六项规定披露风险提示公告后，应当至少每个月披露一次相关进展情况和风险提示公告，直至相应情形消除或者公司股票被本所实施退市风险警示。</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 xml:space="preserve"> 上市公司出现第</w:t>
      </w:r>
      <w:r>
        <w:rPr>
          <w:rFonts w:ascii="仿宋_GB2312" w:hAnsi="黑体" w:eastAsia="仿宋_GB2312"/>
          <w:sz w:val="32"/>
          <w:szCs w:val="32"/>
        </w:rPr>
        <w:t>12.</w:t>
      </w:r>
      <w:r>
        <w:rPr>
          <w:rFonts w:hint="eastAsia" w:ascii="仿宋_GB2312" w:hAnsi="黑体" w:eastAsia="仿宋_GB2312"/>
          <w:sz w:val="32"/>
          <w:szCs w:val="32"/>
        </w:rPr>
        <w:t>5</w:t>
      </w:r>
      <w:r>
        <w:rPr>
          <w:rFonts w:ascii="仿宋_GB2312" w:hAnsi="黑体" w:eastAsia="仿宋_GB2312"/>
          <w:sz w:val="32"/>
          <w:szCs w:val="32"/>
        </w:rPr>
        <w:t>.1条</w:t>
      </w:r>
      <w:r>
        <w:rPr>
          <w:rFonts w:hint="eastAsia" w:ascii="仿宋_GB2312" w:hAnsi="黑体" w:eastAsia="仿宋_GB2312"/>
          <w:sz w:val="32"/>
          <w:szCs w:val="32"/>
        </w:rPr>
        <w:t>第一款</w:t>
      </w:r>
      <w:r>
        <w:rPr>
          <w:rFonts w:ascii="仿宋_GB2312" w:hAnsi="黑体" w:eastAsia="仿宋_GB2312"/>
          <w:sz w:val="32"/>
          <w:szCs w:val="32"/>
        </w:rPr>
        <w:t>第一项</w:t>
      </w:r>
      <w:r>
        <w:rPr>
          <w:rFonts w:hint="eastAsia" w:ascii="仿宋_GB2312" w:hAnsi="黑体" w:eastAsia="仿宋_GB2312"/>
          <w:sz w:val="32"/>
          <w:szCs w:val="32"/>
        </w:rPr>
        <w:t>至第五项规定的未在规定期限改正或者法定期限内披露相关定期报告情形的，公司股票自改正期限或者法定期限届满之日起停牌，并披露公司股票可能被实施退市风险警示的风险提示公告。</w:t>
      </w:r>
      <w:r>
        <w:rPr>
          <w:rFonts w:hint="eastAsia" w:ascii="仿宋_GB2312" w:hAnsi="Arial Unicode MS" w:eastAsia="仿宋_GB2312" w:cs="Arial Unicode MS"/>
          <w:color w:val="000000"/>
          <w:sz w:val="32"/>
          <w:szCs w:val="32"/>
        </w:rPr>
        <w:t>披露日为非交易日的，于次一交易日起停牌。</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上市公司在股票停牌后2个月内完成改正或者披露相关定期报告的，应当及时公告，公司股票自公告披露当日起复牌。</w:t>
      </w:r>
      <w:r>
        <w:rPr>
          <w:rFonts w:hint="eastAsia" w:ascii="仿宋_GB2312" w:hAnsi="Arial Unicode MS" w:eastAsia="仿宋_GB2312" w:cs="Arial Unicode MS"/>
          <w:color w:val="000000"/>
          <w:sz w:val="32"/>
          <w:szCs w:val="32"/>
        </w:rPr>
        <w:t>披露日为非交易日的，于次一交易日起复牌。</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在股票停牌后2个月内仍未完成改正或者披露的，公司应当在停牌2个月届满的次一交易日披露股票被实施退市风险警示的公告。公司股票自公告披露日后的次一交易日起复牌。自复牌之日起，本所对公司股票实施退市风险警示。</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对于可能触及12.5.1条第一款第五项规定情形的，停牌期间前述情形消除的，申请复牌时应当同时披露会计师事务所出具的专项核查意见等文件。</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 xml:space="preserve"> 上市公司出现第12.5.1条第一款第七项规定的股本总额或者股权分布连续20个交易日不具备上市条件的，公司股票自前述情形出现的次一交易日起停牌，并披露公司股票可能被实施退市风险警示的风险提示公告。</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上市公司在股票停牌后1个月内披露股本总额或者股权分布问题解决方案的，应当</w:t>
      </w:r>
      <w:r>
        <w:rPr>
          <w:rFonts w:ascii="仿宋_GB2312" w:hAnsi="黑体" w:eastAsia="仿宋_GB2312"/>
          <w:sz w:val="32"/>
          <w:szCs w:val="32"/>
        </w:rPr>
        <w:t>同时</w:t>
      </w:r>
      <w:r>
        <w:rPr>
          <w:rFonts w:hint="eastAsia" w:ascii="仿宋_GB2312" w:hAnsi="黑体" w:eastAsia="仿宋_GB2312"/>
          <w:sz w:val="32"/>
          <w:szCs w:val="32"/>
        </w:rPr>
        <w:t>披露股票被实施退市风险警示的公告，公司股票自公告披露日后的次一交易日起复牌；公司未在股票停牌后1个月内披露解决方案的，应</w:t>
      </w:r>
      <w:r>
        <w:rPr>
          <w:rFonts w:ascii="仿宋_GB2312" w:hAnsi="黑体" w:eastAsia="仿宋_GB2312"/>
          <w:sz w:val="32"/>
          <w:szCs w:val="32"/>
        </w:rPr>
        <w:t>当在</w:t>
      </w:r>
      <w:r>
        <w:rPr>
          <w:rFonts w:hint="eastAsia" w:ascii="仿宋_GB2312" w:hAnsi="黑体" w:eastAsia="仿宋_GB2312"/>
          <w:sz w:val="32"/>
          <w:szCs w:val="32"/>
        </w:rPr>
        <w:t>停牌</w:t>
      </w:r>
      <w:r>
        <w:rPr>
          <w:rFonts w:ascii="仿宋_GB2312" w:hAnsi="黑体" w:eastAsia="仿宋_GB2312"/>
          <w:sz w:val="32"/>
          <w:szCs w:val="32"/>
        </w:rPr>
        <w:t>1</w:t>
      </w:r>
      <w:r>
        <w:rPr>
          <w:rFonts w:hint="eastAsia" w:ascii="仿宋_GB2312" w:hAnsi="黑体" w:eastAsia="仿宋_GB2312"/>
          <w:sz w:val="32"/>
          <w:szCs w:val="32"/>
        </w:rPr>
        <w:t>个月届满的次一交易日，披露股票被实施退市风险警示的公告，公司股票自公告披露日后的次一交易日起复牌。自复牌之日起，本所对公司股票实施退市风险警示。</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停牌期间股本总额或者股权分布重新具备上市条件的，上市公司应当及时披露并申请股票复牌。</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 xml:space="preserve"> 上市公司出现第12.5.1条第一款第六项、第八项至第十项规定情形之一的，应当及时披露相关情形，公司股票自该情形出现的次一交易日起停牌。</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在停牌之日起5个交易日内，对上市公司股票实施退市风险警示。公司应当按照本所要求在其股票被实施退市风险警示前及时发布公告。公司股票自公告披露日后的次一交易日起复牌。公告披露日为非交易日的，于披露后的第二个交易日起复牌。自复牌之日起，本所对公司股票实施退市风险警示。</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 xml:space="preserve"> 上市</w:t>
      </w:r>
      <w:r>
        <w:rPr>
          <w:rFonts w:ascii="仿宋_GB2312" w:hAnsi="Arial Unicode MS" w:eastAsia="仿宋_GB2312" w:cs="Arial Unicode MS"/>
          <w:color w:val="000000"/>
          <w:sz w:val="32"/>
          <w:szCs w:val="32"/>
        </w:rPr>
        <w:t>公司</w:t>
      </w:r>
      <w:r>
        <w:rPr>
          <w:rFonts w:hint="eastAsia" w:ascii="仿宋_GB2312" w:hAnsi="Arial Unicode MS" w:eastAsia="仿宋_GB2312" w:cs="Arial Unicode MS"/>
          <w:color w:val="000000"/>
          <w:sz w:val="32"/>
          <w:szCs w:val="32"/>
        </w:rPr>
        <w:t>因第12.5.1条第一款第一项至第五项、第七项、第八项规定情形被实施退市风险警示的，</w:t>
      </w:r>
      <w:r>
        <w:rPr>
          <w:rFonts w:hint="eastAsia" w:ascii="仿宋_GB2312" w:hAnsi="黑体" w:eastAsia="仿宋_GB2312"/>
          <w:sz w:val="32"/>
          <w:szCs w:val="32"/>
        </w:rPr>
        <w:t>股票被实施退市风险警示期间，上市公司应当每5个交易日披露一次风险提示公告，提示其股票可能被终止上市的风险。</w:t>
      </w:r>
    </w:p>
    <w:p>
      <w:pPr>
        <w:tabs>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上市公司股票因第12.5.1条第一款第六项规定情形被实施退市风险警示的，在被实施退市风险警示期间，公司应当至少每月披露1次公司股票可能被终止上市的风险提示公告，并且应当在其股票被实施退市风险警示当年会计年度结束后一个月内，披露股票可能被终止上市的风险提示公告，并在首次披露风险提示公告后至该年财务报告内部控制审计报告披露前，每10个交易日披露一次风险提示公告。</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 xml:space="preserve"> 上市公司股票因第</w:t>
      </w:r>
      <w:r>
        <w:rPr>
          <w:rFonts w:ascii="仿宋_GB2312" w:hAnsi="黑体" w:eastAsia="仿宋_GB2312"/>
          <w:sz w:val="32"/>
          <w:szCs w:val="32"/>
        </w:rPr>
        <w:t>12.</w:t>
      </w:r>
      <w:r>
        <w:rPr>
          <w:rFonts w:hint="eastAsia" w:ascii="仿宋_GB2312" w:hAnsi="黑体" w:eastAsia="仿宋_GB2312"/>
          <w:sz w:val="32"/>
          <w:szCs w:val="32"/>
        </w:rPr>
        <w:t>5</w:t>
      </w:r>
      <w:r>
        <w:rPr>
          <w:rFonts w:ascii="仿宋_GB2312" w:hAnsi="黑体" w:eastAsia="仿宋_GB2312"/>
          <w:sz w:val="32"/>
          <w:szCs w:val="32"/>
        </w:rPr>
        <w:t>.1</w:t>
      </w:r>
      <w:r>
        <w:rPr>
          <w:rFonts w:hint="eastAsia" w:ascii="仿宋_GB2312" w:hAnsi="黑体" w:eastAsia="仿宋_GB2312"/>
          <w:sz w:val="32"/>
          <w:szCs w:val="32"/>
        </w:rPr>
        <w:t>条第一款第九项情形被实施退市风险警示的，公司应当分阶段及时披露法院裁定批准公司重整计划、和解协议或者终止重整、和解程序等重整事项的进展，并充分提示相关风险</w:t>
      </w:r>
      <w:r>
        <w:rPr>
          <w:rFonts w:ascii="仿宋_GB2312" w:hAnsi="黑体" w:eastAsia="仿宋_GB2312"/>
          <w:sz w:val="32"/>
          <w:szCs w:val="32"/>
        </w:rPr>
        <w:t>。</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上市公司破产重整的停复牌应当遵守本所相关规定。</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 xml:space="preserve"> 上市公司股票因第12.5.1条第一款第一项至第八项情形被实施退市风险警示后，符合下列对应条件的，可以向本所申请撤销对其股票实施的退市风险警示并披露：</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（一）因第12.5.1条第一款第一项情形被实施退市风险警示之日后2个月内，披露经改正的财务会计报告；</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（二）因第12.5.1条第一款第二项情形被实施退市风险警示之日后2个月内，披露相关年度报告或者半年度报告，且不存在半数以上董事无法保证真实、准确、完整情形；</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w:t>
      </w:r>
      <w:r>
        <w:rPr>
          <w:rFonts w:hint="eastAsia" w:ascii="仿宋_GB2312" w:hAnsi="Arial Unicode MS" w:eastAsia="仿宋_GB2312" w:cs="Arial Unicode MS"/>
          <w:color w:val="000000"/>
          <w:sz w:val="32"/>
          <w:szCs w:val="32"/>
        </w:rPr>
        <w:t>因第12.5.1条第一款第三项规定情形被实施退市风险警示之日后2个月内，超过半数董事保证公司所披露相关定期报告的真实性、准确性和完整性；</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（四）因第12.5.1条第一款第四项情形被实施退市风险警示之日后2个月内，公司已按要求完成整改，具备健全的公司治理结构，运作规范，信息披露和内控制度无重大缺陷；</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（五）因第12.5.1条第一款第五项规定情形被实施退市风险警示之日后2个月内，公司完成改正，且不存在控股股东及其关联方其他非经营性占用资金情形；</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（六）因第12.5.1条第一款第六项规定情形被实施退市风险警示后，最近一个会计年度公司财务报告内部控制被出具无保留意见的审计报告；</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（七）因第12.5.1条第一款第七项情形被实施退市风险警示之日后6个月内，解决股本总额或股权分布问题，且其股本总额或股权分布重新具备上市条件；</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（八）因第</w:t>
      </w:r>
      <w:r>
        <w:rPr>
          <w:rFonts w:ascii="仿宋_GB2312" w:hAnsi="黑体" w:eastAsia="仿宋_GB2312"/>
          <w:sz w:val="32"/>
          <w:szCs w:val="32"/>
        </w:rPr>
        <w:t>12.</w:t>
      </w:r>
      <w:r>
        <w:rPr>
          <w:rFonts w:hint="eastAsia" w:ascii="仿宋_GB2312" w:hAnsi="黑体" w:eastAsia="仿宋_GB2312"/>
          <w:sz w:val="32"/>
          <w:szCs w:val="32"/>
        </w:rPr>
        <w:t>5</w:t>
      </w:r>
      <w:r>
        <w:rPr>
          <w:rFonts w:ascii="仿宋_GB2312" w:hAnsi="黑体" w:eastAsia="仿宋_GB2312"/>
          <w:sz w:val="32"/>
          <w:szCs w:val="32"/>
        </w:rPr>
        <w:t>.1条</w:t>
      </w:r>
      <w:r>
        <w:rPr>
          <w:rFonts w:hint="eastAsia" w:ascii="仿宋_GB2312" w:hAnsi="黑体" w:eastAsia="仿宋_GB2312"/>
          <w:sz w:val="32"/>
          <w:szCs w:val="32"/>
        </w:rPr>
        <w:t>第一款</w:t>
      </w:r>
      <w:r>
        <w:rPr>
          <w:rFonts w:ascii="仿宋_GB2312" w:hAnsi="黑体" w:eastAsia="仿宋_GB2312"/>
          <w:sz w:val="32"/>
          <w:szCs w:val="32"/>
        </w:rPr>
        <w:t>第</w:t>
      </w:r>
      <w:r>
        <w:rPr>
          <w:rFonts w:hint="eastAsia" w:ascii="仿宋_GB2312" w:hAnsi="黑体" w:eastAsia="仿宋_GB2312"/>
          <w:sz w:val="32"/>
          <w:szCs w:val="32"/>
        </w:rPr>
        <w:t>八项情形被实施退市风险警示后，公司可能被依法强制解散的情形已消除。</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前款规定的第四项情形，由本所提请上市委员会审议，并根据上市委员会审议意见作出是否撤销退市风险警示的决定。</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股票因第12.5.1条第一款第六项规定情形被实施退市风险警示后，最近一个会计年度公司因进行破产重整、重组上市或者重大资产重组，按照相关规定无法披露财务报告内部控制审计报告的，公司股票继续被实施退市风险警示。</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 xml:space="preserve"> 上市公司股票因第</w:t>
      </w:r>
      <w:r>
        <w:rPr>
          <w:rFonts w:ascii="仿宋_GB2312" w:hAnsi="黑体" w:eastAsia="仿宋_GB2312"/>
          <w:sz w:val="32"/>
          <w:szCs w:val="32"/>
        </w:rPr>
        <w:t>12.</w:t>
      </w:r>
      <w:r>
        <w:rPr>
          <w:rFonts w:hint="eastAsia" w:ascii="仿宋_GB2312" w:hAnsi="黑体" w:eastAsia="仿宋_GB2312"/>
          <w:sz w:val="32"/>
          <w:szCs w:val="32"/>
        </w:rPr>
        <w:t>5</w:t>
      </w:r>
      <w:r>
        <w:rPr>
          <w:rFonts w:ascii="仿宋_GB2312" w:hAnsi="黑体" w:eastAsia="仿宋_GB2312"/>
          <w:sz w:val="32"/>
          <w:szCs w:val="32"/>
        </w:rPr>
        <w:t>.1条</w:t>
      </w:r>
      <w:r>
        <w:rPr>
          <w:rFonts w:hint="eastAsia" w:ascii="仿宋_GB2312" w:hAnsi="黑体" w:eastAsia="仿宋_GB2312"/>
          <w:sz w:val="32"/>
          <w:szCs w:val="32"/>
        </w:rPr>
        <w:t>第一款</w:t>
      </w:r>
      <w:r>
        <w:rPr>
          <w:rFonts w:ascii="仿宋_GB2312" w:hAnsi="黑体" w:eastAsia="仿宋_GB2312"/>
          <w:sz w:val="32"/>
          <w:szCs w:val="32"/>
        </w:rPr>
        <w:t>第</w:t>
      </w:r>
      <w:r>
        <w:rPr>
          <w:rFonts w:hint="eastAsia" w:ascii="仿宋_GB2312" w:hAnsi="黑体" w:eastAsia="仿宋_GB2312"/>
          <w:sz w:val="32"/>
          <w:szCs w:val="32"/>
        </w:rPr>
        <w:t>九项情形被实施退市风险警示后，符合下列条件之一的，公司可以向本所申请撤销对其股票实施的退市风险警示并披露：</w:t>
      </w:r>
    </w:p>
    <w:p>
      <w:pPr>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（一）重整计划执行完毕；</w:t>
      </w:r>
    </w:p>
    <w:p>
      <w:pPr>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（二）和解协议执行完毕；</w:t>
      </w:r>
    </w:p>
    <w:p>
      <w:pPr>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（三）法院受理破产申请后至破产宣告前，依据《中华人民共和国企业破产法》（以下简称《企业破产法》）作出驳回破产申请的裁定，且申请人在法定期限内未提起上诉；</w:t>
      </w:r>
    </w:p>
    <w:p>
      <w:pPr>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（四）因公司已清偿全部到期债务、第三人为公司提供足额担保或者清偿全部到期债务，法院受理破产申请后至破产宣告前，依据《企业破产法》作出终结破产程序的裁定。</w:t>
      </w:r>
    </w:p>
    <w:p>
      <w:pPr>
        <w:tabs>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公司因前款第一项、第二项情形向本所申请撤销对其股票实施的退市风险警示，应当提交法院指定管理人出具的监督报告、律师事务所出具的对公司重整计划或和解协议执行情况的法律意见书，以及本所要求的其他说明文件。</w:t>
      </w:r>
    </w:p>
    <w:p>
      <w:pPr>
        <w:numPr>
          <w:ilvl w:val="2"/>
          <w:numId w:val="50"/>
        </w:numPr>
        <w:tabs>
          <w:tab w:val="left" w:pos="1560"/>
        </w:tabs>
        <w:snapToGrid w:val="0"/>
        <w:spacing w:line="560" w:lineRule="exact"/>
        <w:ind w:left="0" w:firstLine="640" w:firstLineChars="200"/>
        <w:rPr>
          <w:rFonts w:ascii="仿宋_GB2312" w:hAnsi="Arial Unicode MS" w:eastAsia="仿宋_GB2312" w:cs="Arial Unicode MS"/>
          <w:color w:val="000000"/>
          <w:sz w:val="32"/>
          <w:szCs w:val="32"/>
        </w:rPr>
      </w:pPr>
      <w:r>
        <w:rPr>
          <w:rFonts w:hint="eastAsia" w:ascii="仿宋_GB2312" w:hAnsi="黑体" w:eastAsia="仿宋_GB2312"/>
          <w:sz w:val="32"/>
          <w:szCs w:val="32"/>
        </w:rPr>
        <w:t>上市公司符合12.5.8条、第12.5.9条规定条件的，应当于相关情形出现后及时披露，并说明是否将向本所申请撤销退市风险警示。公司可以在披露之日起的5个交易日内，向本所申请撤销对其</w:t>
      </w:r>
      <w:r>
        <w:rPr>
          <w:rFonts w:ascii="仿宋_GB2312" w:hAnsi="黑体" w:eastAsia="仿宋_GB2312"/>
          <w:sz w:val="32"/>
          <w:szCs w:val="32"/>
        </w:rPr>
        <w:t>股票实施的</w:t>
      </w:r>
      <w:r>
        <w:rPr>
          <w:rFonts w:hint="eastAsia" w:ascii="仿宋_GB2312" w:hAnsi="黑体" w:eastAsia="仿宋_GB2312"/>
          <w:sz w:val="32"/>
          <w:szCs w:val="32"/>
        </w:rPr>
        <w:t>退市风险警示并披露。</w:t>
      </w:r>
      <w:r>
        <w:rPr>
          <w:rFonts w:hint="eastAsia" w:ascii="仿宋_GB2312" w:hAnsi="Arial Unicode MS" w:eastAsia="仿宋_GB2312" w:cs="Arial Unicode MS"/>
          <w:color w:val="000000"/>
          <w:sz w:val="32"/>
          <w:szCs w:val="32"/>
        </w:rPr>
        <w:t>上市公司不符合12.5.8条、第12.5.9条</w:t>
      </w:r>
      <w:r>
        <w:rPr>
          <w:rFonts w:hint="eastAsia" w:ascii="仿宋_GB2312" w:hAnsi="黑体" w:eastAsia="仿宋_GB2312"/>
          <w:sz w:val="32"/>
          <w:szCs w:val="32"/>
        </w:rPr>
        <w:t>规定的撤销退市风险警示</w:t>
      </w:r>
      <w:r>
        <w:rPr>
          <w:rFonts w:hint="eastAsia" w:ascii="仿宋_GB2312" w:hAnsi="Arial Unicode MS" w:eastAsia="仿宋_GB2312" w:cs="Arial Unicode MS"/>
          <w:color w:val="000000"/>
          <w:sz w:val="32"/>
          <w:szCs w:val="32"/>
        </w:rPr>
        <w:t>条件或者未在规定期限内申请撤销退市风险警示的，本所决定终止其股票上市。</w:t>
      </w:r>
    </w:p>
    <w:p>
      <w:pPr>
        <w:tabs>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公司依据第12.5.8条第一款第一项、第三项、第六项、第七项规定向本所申请撤销退市风险警示的，本所可以要求公司同时提交中介机构出具的专项核查意见。</w:t>
      </w:r>
    </w:p>
    <w:p>
      <w:pPr>
        <w:tabs>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公司按照第12.5.8</w:t>
      </w:r>
      <w:r>
        <w:rPr>
          <w:rFonts w:ascii="仿宋_GB2312" w:hAnsi="Arial Unicode MS" w:eastAsia="仿宋_GB2312" w:cs="Arial Unicode MS"/>
          <w:color w:val="000000"/>
          <w:sz w:val="32"/>
          <w:szCs w:val="32"/>
        </w:rPr>
        <w:t>条第一款</w:t>
      </w:r>
      <w:r>
        <w:rPr>
          <w:rFonts w:hint="eastAsia" w:ascii="仿宋_GB2312" w:hAnsi="Arial Unicode MS" w:eastAsia="仿宋_GB2312" w:cs="Arial Unicode MS"/>
          <w:color w:val="000000"/>
          <w:sz w:val="32"/>
          <w:szCs w:val="32"/>
        </w:rPr>
        <w:t>第四项规定向本所申请撤销退市风险警示的，应当按照本所要求同时披露中介机构专项核查意见，说明公司信息披露、规范运作无重大缺陷。</w:t>
      </w:r>
    </w:p>
    <w:p>
      <w:pPr>
        <w:tabs>
          <w:tab w:val="left" w:pos="1560"/>
        </w:tabs>
        <w:snapToGrid w:val="0"/>
        <w:spacing w:line="560" w:lineRule="exact"/>
        <w:ind w:firstLine="640" w:firstLineChars="20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公司按照第12.5.8条第一款第五项规定向本所申请撤销退市风险警示的，应当提交会计师事务所出具的专项核查意见等文件。</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上市公司提交完备的申请材料的，本所在15个交易日内作出是否撤销退市风险警示的决定。在此期间，本所要求公司提供补充材料的，公司应当在本所规定期限内提供有关材料。公司补充材料期间不计入本所作出有关决定的期限。</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本所决定撤销退市风险警示的，上市公司应当按照本所要求在</w:t>
      </w:r>
      <w:r>
        <w:rPr>
          <w:rFonts w:ascii="仿宋_GB2312" w:hAnsi="Arial Unicode MS" w:eastAsia="仿宋_GB2312" w:cs="Arial Unicode MS"/>
          <w:color w:val="000000"/>
          <w:sz w:val="32"/>
          <w:szCs w:val="32"/>
        </w:rPr>
        <w:t>撤销退市风险警示</w:t>
      </w:r>
      <w:r>
        <w:rPr>
          <w:rFonts w:hint="eastAsia" w:ascii="仿宋_GB2312" w:hAnsi="黑体" w:eastAsia="仿宋_GB2312"/>
          <w:sz w:val="32"/>
          <w:szCs w:val="32"/>
        </w:rPr>
        <w:t>之前一个交易日</w:t>
      </w:r>
      <w:r>
        <w:rPr>
          <w:rFonts w:ascii="仿宋_GB2312" w:hAnsi="Arial Unicode MS" w:eastAsia="仿宋_GB2312" w:cs="Arial Unicode MS"/>
          <w:color w:val="000000"/>
          <w:sz w:val="32"/>
          <w:szCs w:val="32"/>
        </w:rPr>
        <w:t>披露</w:t>
      </w:r>
      <w:r>
        <w:rPr>
          <w:rFonts w:hint="eastAsia" w:ascii="仿宋_GB2312" w:hAnsi="Arial Unicode MS" w:eastAsia="仿宋_GB2312" w:cs="Arial Unicode MS"/>
          <w:color w:val="000000"/>
          <w:sz w:val="32"/>
          <w:szCs w:val="32"/>
        </w:rPr>
        <w:t>公告。</w:t>
      </w:r>
      <w:r>
        <w:rPr>
          <w:rFonts w:hint="eastAsia" w:ascii="仿宋_GB2312" w:hAnsi="黑体" w:eastAsia="仿宋_GB2312"/>
          <w:sz w:val="32"/>
          <w:szCs w:val="32"/>
        </w:rPr>
        <w:t>公司股票在公告披露日停牌一天，本所自复牌之日起撤销对公司股票实施的退市风险警示。</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本所决定不予撤销退市风险警示的，公司应当在收到本所有关书面通知的次一交易日披露公告。公司未按规定公告的，</w:t>
      </w:r>
      <w:r>
        <w:rPr>
          <w:rFonts w:hint="eastAsia" w:ascii="仿宋_GB2312" w:hAnsi="Arial Unicode MS" w:eastAsia="仿宋_GB2312" w:cs="Arial Unicode MS"/>
          <w:color w:val="000000"/>
          <w:sz w:val="32"/>
          <w:szCs w:val="32"/>
        </w:rPr>
        <w:t>本所可以交易所公告的形式予以公告</w:t>
      </w:r>
      <w:r>
        <w:rPr>
          <w:rFonts w:hint="eastAsia" w:ascii="仿宋_GB2312" w:hAnsi="黑体" w:eastAsia="仿宋_GB2312"/>
          <w:sz w:val="32"/>
          <w:szCs w:val="32"/>
        </w:rPr>
        <w:t>。</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上市公司虽满足第12.5.8条、第12.5.9条规定的退市风险警示撤销条件，但具有其他退市风险警示情形的，按其他退市风险警示的程序执行，</w:t>
      </w:r>
      <w:r>
        <w:rPr>
          <w:rFonts w:ascii="仿宋_GB2312" w:hAnsi="黑体" w:eastAsia="仿宋_GB2312"/>
          <w:sz w:val="32"/>
          <w:szCs w:val="32"/>
        </w:rPr>
        <w:t>不予撤销退市风险警示</w:t>
      </w:r>
      <w:r>
        <w:rPr>
          <w:rFonts w:hint="eastAsia" w:ascii="仿宋_GB2312" w:hAnsi="黑体" w:eastAsia="仿宋_GB2312"/>
          <w:sz w:val="32"/>
          <w:szCs w:val="32"/>
        </w:rPr>
        <w:t>。</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未满足第12.5.8条第一款第一项至第五项、第七项，第12.5.9条规定的撤销退市风险警示条件，或者未在第12.5.10条规定的期限内向本所申请撤销退市风险警示的，公司应当在相应期限届满或者收到本所不予撤销退市风险警示通知的次一交易日披露公司股票可能被终止上市的风险提示公告，公司股票自公告披露之日起停牌。</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未满足第12.5.8条第一款第六项规定的撤销退市风险警示条件，公司应当及时披露公司股票可能被终止上市的风险提示公告，公司股票自公告披露之日起停牌，披露日为非交易日的，自披露后的次一个交易日起停牌。</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股票因第12.5.1条第一款第八项、第九项情形被实施退市风险警示后，应当最迟于知道公司依法被吊销营业执照、被责令关闭或者被撤销等强制解散条件成就，或者收到法院宣告公司破产的裁定书的次一交易日披露有关情况，同时披露公司股票可能被终止上市的风险提示公告，公司股票自公告披露之日起停牌。</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本所根据第</w:t>
      </w:r>
      <w:r>
        <w:rPr>
          <w:rFonts w:ascii="仿宋_GB2312" w:hAnsi="黑体" w:eastAsia="仿宋_GB2312"/>
          <w:sz w:val="32"/>
          <w:szCs w:val="32"/>
        </w:rPr>
        <w:t>12.5.</w:t>
      </w:r>
      <w:r>
        <w:rPr>
          <w:rFonts w:hint="eastAsia" w:ascii="仿宋_GB2312" w:hAnsi="黑体" w:eastAsia="仿宋_GB2312"/>
          <w:sz w:val="32"/>
          <w:szCs w:val="32"/>
        </w:rPr>
        <w:t>14条对上市公司股票实施停牌的，自停牌之日起</w:t>
      </w:r>
      <w:r>
        <w:rPr>
          <w:rFonts w:ascii="仿宋_GB2312" w:hAnsi="黑体" w:eastAsia="仿宋_GB2312"/>
          <w:sz w:val="32"/>
          <w:szCs w:val="32"/>
        </w:rPr>
        <w:t>5个交易日内，向公司发出拟终止其股票上市的事先告知书，公司应当及时披露。</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上市公司收到终止上市事先告知书后，可以根据本章第六节的规定提出听证、陈述和申辩。</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本所上市委员会在前款规定的有关期限届满或者听证程序结束后15个交易日内，就是否终止其股票上市事宜进行审议，作出独立的专业判断并形成审议意见。</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本所根据上市委员会的审议意见，作出是否终止股票上市的决定。</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Arial Unicode MS" w:eastAsia="仿宋_GB2312" w:cs="Arial Unicode MS"/>
          <w:color w:val="000000"/>
          <w:sz w:val="32"/>
          <w:szCs w:val="32"/>
        </w:rPr>
        <w:t>本所决定不对上市公司股票实施终止上市的，公司应当在收到本所相关决定后，及时披露并申请股票复牌。公司股票不存在其他退市风险警示情形的，自复牌之日起，本所撤销对公司股票实施的退市风险警示。</w:t>
      </w:r>
    </w:p>
    <w:p>
      <w:pPr>
        <w:numPr>
          <w:ilvl w:val="2"/>
          <w:numId w:val="50"/>
        </w:numPr>
        <w:tabs>
          <w:tab w:val="left" w:pos="1560"/>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本所在作出终止股票上市的决定之日后2个交易日内，通知上市公司并发布相关公告，同时报中国证监会备案。</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上市公司应当在收到本所关于终止其股票上市的决定后，及时披露股票终止上市公告。</w:t>
      </w:r>
    </w:p>
    <w:p>
      <w:pPr>
        <w:pStyle w:val="34"/>
        <w:ind w:firstLine="640"/>
        <w:rPr>
          <w:rFonts w:ascii="仿宋_GB2312" w:hAnsi="黑体"/>
          <w:sz w:val="32"/>
          <w:szCs w:val="32"/>
        </w:rPr>
      </w:pPr>
      <w:r>
        <w:rPr>
          <w:rFonts w:hint="eastAsia" w:ascii="仿宋_GB2312" w:hAnsi="黑体"/>
          <w:sz w:val="32"/>
          <w:szCs w:val="32"/>
        </w:rPr>
        <w:t>上市公司可以按照本章第六节的规定申请复核。</w:t>
      </w:r>
    </w:p>
    <w:p>
      <w:pPr>
        <w:pStyle w:val="36"/>
      </w:pPr>
      <w:bookmarkStart w:id="668" w:name="_Toc530161977"/>
      <w:bookmarkEnd w:id="668"/>
      <w:bookmarkStart w:id="669" w:name="_Toc532393281"/>
      <w:bookmarkEnd w:id="669"/>
      <w:bookmarkStart w:id="670" w:name="_Toc530162125"/>
      <w:bookmarkEnd w:id="670"/>
      <w:bookmarkStart w:id="671" w:name="_Toc530152915"/>
      <w:bookmarkEnd w:id="671"/>
      <w:bookmarkStart w:id="672" w:name="_Toc530156282"/>
      <w:bookmarkEnd w:id="672"/>
      <w:bookmarkStart w:id="673" w:name="_Toc530162419"/>
      <w:bookmarkEnd w:id="673"/>
      <w:bookmarkStart w:id="674" w:name="_Toc530152495"/>
      <w:bookmarkEnd w:id="674"/>
      <w:bookmarkStart w:id="675" w:name="_Toc530162716"/>
      <w:bookmarkEnd w:id="675"/>
      <w:bookmarkStart w:id="676" w:name="_Toc530152498"/>
      <w:bookmarkEnd w:id="676"/>
      <w:bookmarkStart w:id="677" w:name="_Toc530162282"/>
      <w:bookmarkEnd w:id="677"/>
      <w:bookmarkStart w:id="678" w:name="_Toc530162427"/>
      <w:bookmarkEnd w:id="678"/>
      <w:bookmarkStart w:id="679" w:name="_Toc530152982"/>
      <w:bookmarkEnd w:id="679"/>
      <w:bookmarkStart w:id="680" w:name="_Toc530153048"/>
      <w:bookmarkEnd w:id="680"/>
      <w:bookmarkStart w:id="681" w:name="_Toc530162002"/>
      <w:bookmarkEnd w:id="681"/>
      <w:bookmarkStart w:id="682" w:name="_Toc530162945"/>
      <w:bookmarkEnd w:id="682"/>
      <w:bookmarkStart w:id="683" w:name="_Toc530152497"/>
      <w:bookmarkEnd w:id="683"/>
      <w:bookmarkStart w:id="684" w:name="_Toc530152501"/>
      <w:bookmarkEnd w:id="684"/>
      <w:bookmarkStart w:id="685" w:name="_Toc530152923"/>
      <w:bookmarkEnd w:id="685"/>
      <w:bookmarkStart w:id="686" w:name="_Toc530162435"/>
      <w:bookmarkEnd w:id="686"/>
      <w:bookmarkStart w:id="687" w:name="_Toc530162139"/>
      <w:bookmarkEnd w:id="687"/>
      <w:bookmarkStart w:id="688" w:name="_Toc530161993"/>
      <w:bookmarkEnd w:id="688"/>
      <w:bookmarkStart w:id="689" w:name="_Toc530162940"/>
      <w:bookmarkEnd w:id="689"/>
      <w:bookmarkStart w:id="690" w:name="_Toc530162944"/>
      <w:bookmarkEnd w:id="690"/>
      <w:bookmarkStart w:id="691" w:name="_Toc530162560"/>
      <w:bookmarkEnd w:id="691"/>
      <w:bookmarkStart w:id="692" w:name="_Toc530152917"/>
      <w:bookmarkEnd w:id="692"/>
      <w:bookmarkStart w:id="693" w:name="_Toc530162292"/>
      <w:bookmarkEnd w:id="693"/>
      <w:bookmarkStart w:id="694" w:name="_Toc530162575"/>
      <w:bookmarkEnd w:id="694"/>
      <w:bookmarkStart w:id="695" w:name="_Toc530162941"/>
      <w:bookmarkEnd w:id="695"/>
      <w:bookmarkStart w:id="696" w:name="_Toc530162275"/>
      <w:bookmarkEnd w:id="696"/>
      <w:bookmarkStart w:id="697" w:name="_Toc530153047"/>
      <w:bookmarkEnd w:id="697"/>
      <w:bookmarkStart w:id="698" w:name="_Toc530162140"/>
      <w:bookmarkEnd w:id="698"/>
      <w:bookmarkStart w:id="699" w:name="_Toc530152502"/>
      <w:bookmarkEnd w:id="699"/>
      <w:bookmarkStart w:id="700" w:name="_Toc530162434"/>
      <w:bookmarkEnd w:id="700"/>
      <w:bookmarkStart w:id="701" w:name="_Toc530162286"/>
      <w:bookmarkEnd w:id="701"/>
      <w:bookmarkStart w:id="702" w:name="_Toc530152509"/>
      <w:bookmarkEnd w:id="702"/>
      <w:bookmarkStart w:id="703" w:name="_Toc530161986"/>
      <w:bookmarkEnd w:id="703"/>
      <w:bookmarkStart w:id="704" w:name="_Toc530161985"/>
      <w:bookmarkEnd w:id="704"/>
      <w:bookmarkStart w:id="705" w:name="_Toc530152984"/>
      <w:bookmarkEnd w:id="705"/>
      <w:bookmarkStart w:id="706" w:name="_Toc530152505"/>
      <w:bookmarkEnd w:id="706"/>
      <w:bookmarkStart w:id="707" w:name="_Toc530152983"/>
      <w:bookmarkEnd w:id="707"/>
      <w:bookmarkStart w:id="708" w:name="_Toc530162725"/>
      <w:bookmarkEnd w:id="708"/>
      <w:bookmarkStart w:id="709" w:name="_Toc530162573"/>
      <w:bookmarkEnd w:id="709"/>
      <w:bookmarkStart w:id="710" w:name="_Toc530156298"/>
      <w:bookmarkEnd w:id="710"/>
      <w:bookmarkStart w:id="711" w:name="_Toc530162127"/>
      <w:bookmarkEnd w:id="711"/>
      <w:bookmarkStart w:id="712" w:name="_Toc530162580"/>
      <w:bookmarkEnd w:id="712"/>
      <w:bookmarkStart w:id="713" w:name="_Toc530156300"/>
      <w:bookmarkEnd w:id="713"/>
      <w:bookmarkStart w:id="714" w:name="_Toc530152918"/>
      <w:bookmarkEnd w:id="714"/>
      <w:bookmarkStart w:id="715" w:name="_Toc530161996"/>
      <w:bookmarkEnd w:id="715"/>
      <w:bookmarkStart w:id="716" w:name="_Toc530156293"/>
      <w:bookmarkEnd w:id="716"/>
      <w:bookmarkStart w:id="717" w:name="_Toc530162144"/>
      <w:bookmarkEnd w:id="717"/>
      <w:bookmarkStart w:id="718" w:name="_Toc530162943"/>
      <w:bookmarkEnd w:id="718"/>
      <w:bookmarkStart w:id="719" w:name="_Toc530156296"/>
      <w:bookmarkEnd w:id="719"/>
      <w:bookmarkStart w:id="720" w:name="_Toc530162143"/>
      <w:bookmarkEnd w:id="720"/>
      <w:bookmarkStart w:id="721" w:name="_Toc530162565"/>
      <w:bookmarkEnd w:id="721"/>
      <w:bookmarkStart w:id="722" w:name="_Toc530162577"/>
      <w:bookmarkEnd w:id="722"/>
      <w:bookmarkStart w:id="723" w:name="_Toc530162438"/>
      <w:bookmarkEnd w:id="723"/>
      <w:bookmarkStart w:id="724" w:name="_Toc530162563"/>
      <w:bookmarkEnd w:id="724"/>
      <w:bookmarkStart w:id="725" w:name="_Toc530152966"/>
      <w:bookmarkEnd w:id="725"/>
      <w:bookmarkStart w:id="726" w:name="_Toc530161982"/>
      <w:bookmarkEnd w:id="726"/>
      <w:bookmarkStart w:id="727" w:name="_Toc530152489"/>
      <w:bookmarkEnd w:id="727"/>
      <w:bookmarkStart w:id="728" w:name="_Toc530153051"/>
      <w:bookmarkEnd w:id="728"/>
      <w:bookmarkStart w:id="729" w:name="_Toc530152905"/>
      <w:bookmarkEnd w:id="729"/>
      <w:bookmarkStart w:id="730" w:name="_Toc530162425"/>
      <w:bookmarkEnd w:id="730"/>
      <w:bookmarkStart w:id="731" w:name="_Toc530162718"/>
      <w:bookmarkEnd w:id="731"/>
      <w:bookmarkStart w:id="732" w:name="_Toc530153042"/>
      <w:bookmarkEnd w:id="732"/>
      <w:bookmarkStart w:id="733" w:name="_Toc530152989"/>
      <w:bookmarkEnd w:id="733"/>
      <w:bookmarkStart w:id="734" w:name="_Toc530162934"/>
      <w:bookmarkEnd w:id="734"/>
      <w:bookmarkStart w:id="735" w:name="_Toc530162927"/>
      <w:bookmarkEnd w:id="735"/>
      <w:bookmarkStart w:id="736" w:name="_Toc530162000"/>
      <w:bookmarkEnd w:id="736"/>
      <w:bookmarkStart w:id="737" w:name="_Toc530162412"/>
      <w:bookmarkEnd w:id="737"/>
      <w:bookmarkStart w:id="738" w:name="_Toc530152511"/>
      <w:bookmarkEnd w:id="738"/>
      <w:bookmarkStart w:id="739" w:name="_Toc530162429"/>
      <w:bookmarkEnd w:id="739"/>
      <w:bookmarkStart w:id="740" w:name="_Toc530153049"/>
      <w:bookmarkEnd w:id="740"/>
      <w:bookmarkStart w:id="741" w:name="_Toc530162719"/>
      <w:bookmarkEnd w:id="741"/>
      <w:bookmarkStart w:id="742" w:name="_Toc530162572"/>
      <w:bookmarkEnd w:id="742"/>
      <w:bookmarkStart w:id="743" w:name="_Toc530162720"/>
      <w:bookmarkEnd w:id="743"/>
      <w:bookmarkStart w:id="744" w:name="_Toc530162283"/>
      <w:bookmarkEnd w:id="744"/>
      <w:bookmarkStart w:id="745" w:name="_Toc530162426"/>
      <w:bookmarkEnd w:id="745"/>
      <w:bookmarkStart w:id="746" w:name="_Toc530152922"/>
      <w:bookmarkEnd w:id="746"/>
      <w:bookmarkStart w:id="747" w:name="_Toc530152493"/>
      <w:bookmarkEnd w:id="747"/>
      <w:bookmarkStart w:id="748" w:name="_Toc530152496"/>
      <w:bookmarkEnd w:id="748"/>
      <w:bookmarkStart w:id="749" w:name="_Toc530162437"/>
      <w:bookmarkEnd w:id="749"/>
      <w:bookmarkStart w:id="750" w:name="_Toc530162938"/>
      <w:bookmarkEnd w:id="750"/>
      <w:bookmarkStart w:id="751" w:name="_Toc530153056"/>
      <w:bookmarkEnd w:id="751"/>
      <w:bookmarkStart w:id="752" w:name="_Toc530162942"/>
      <w:bookmarkEnd w:id="752"/>
      <w:bookmarkStart w:id="753" w:name="_Toc530152921"/>
      <w:bookmarkEnd w:id="753"/>
      <w:bookmarkStart w:id="754" w:name="_Toc530156292"/>
      <w:bookmarkEnd w:id="754"/>
      <w:bookmarkStart w:id="755" w:name="_Toc530161987"/>
      <w:bookmarkEnd w:id="755"/>
      <w:bookmarkStart w:id="756" w:name="_Toc530152907"/>
      <w:bookmarkEnd w:id="756"/>
      <w:bookmarkStart w:id="757" w:name="_Toc530162707"/>
      <w:bookmarkEnd w:id="757"/>
      <w:bookmarkStart w:id="758" w:name="_Toc530152506"/>
      <w:bookmarkEnd w:id="758"/>
      <w:bookmarkStart w:id="759" w:name="_Toc530162706"/>
      <w:bookmarkEnd w:id="759"/>
      <w:bookmarkStart w:id="760" w:name="_Toc530162430"/>
      <w:bookmarkEnd w:id="760"/>
      <w:bookmarkStart w:id="761" w:name="_Toc530162946"/>
      <w:bookmarkEnd w:id="761"/>
      <w:bookmarkStart w:id="762" w:name="_Toc530162432"/>
      <w:bookmarkEnd w:id="762"/>
      <w:bookmarkStart w:id="763" w:name="_Toc530152975"/>
      <w:bookmarkEnd w:id="763"/>
      <w:bookmarkStart w:id="764" w:name="_Toc530162279"/>
      <w:bookmarkEnd w:id="764"/>
      <w:bookmarkStart w:id="765" w:name="_Toc530162294"/>
      <w:bookmarkEnd w:id="765"/>
      <w:bookmarkStart w:id="766" w:name="_Toc530162131"/>
      <w:bookmarkEnd w:id="766"/>
      <w:bookmarkStart w:id="767" w:name="_Toc530162293"/>
      <w:bookmarkEnd w:id="767"/>
      <w:bookmarkStart w:id="768" w:name="_Toc530162411"/>
      <w:bookmarkEnd w:id="768"/>
      <w:bookmarkStart w:id="769" w:name="_Toc530162722"/>
      <w:bookmarkEnd w:id="769"/>
      <w:bookmarkStart w:id="770" w:name="_Toc530152990"/>
      <w:bookmarkEnd w:id="770"/>
      <w:bookmarkStart w:id="771" w:name="_Toc530162276"/>
      <w:bookmarkEnd w:id="771"/>
      <w:bookmarkStart w:id="772" w:name="_Toc530162721"/>
      <w:bookmarkEnd w:id="772"/>
      <w:bookmarkStart w:id="773" w:name="_Toc530156299"/>
      <w:bookmarkEnd w:id="773"/>
      <w:bookmarkStart w:id="774" w:name="_Toc530162130"/>
      <w:bookmarkEnd w:id="774"/>
      <w:bookmarkStart w:id="775" w:name="_Toc530156283"/>
      <w:bookmarkEnd w:id="775"/>
      <w:bookmarkStart w:id="776" w:name="_Toc530152972"/>
      <w:bookmarkEnd w:id="776"/>
      <w:bookmarkStart w:id="777" w:name="_Toc530161992"/>
      <w:bookmarkEnd w:id="777"/>
      <w:bookmarkStart w:id="778" w:name="_Toc530153044"/>
      <w:bookmarkEnd w:id="778"/>
      <w:bookmarkStart w:id="779" w:name="_Toc530161988"/>
      <w:bookmarkEnd w:id="779"/>
      <w:bookmarkStart w:id="780" w:name="_Toc530156289"/>
      <w:bookmarkEnd w:id="780"/>
      <w:bookmarkStart w:id="781" w:name="_Toc530162726"/>
      <w:bookmarkEnd w:id="781"/>
      <w:bookmarkStart w:id="782" w:name="_Toc530152513"/>
      <w:bookmarkEnd w:id="782"/>
      <w:bookmarkStart w:id="783" w:name="_Toc530156290"/>
      <w:bookmarkEnd w:id="783"/>
      <w:bookmarkStart w:id="784" w:name="_Toc530162576"/>
      <w:bookmarkEnd w:id="784"/>
      <w:bookmarkStart w:id="785" w:name="_Toc530153045"/>
      <w:bookmarkEnd w:id="785"/>
      <w:bookmarkStart w:id="786" w:name="_Toc530162277"/>
      <w:bookmarkEnd w:id="786"/>
      <w:bookmarkStart w:id="787" w:name="_Toc530162272"/>
      <w:bookmarkEnd w:id="787"/>
      <w:bookmarkStart w:id="788" w:name="_Toc530153058"/>
      <w:bookmarkEnd w:id="788"/>
      <w:bookmarkStart w:id="789" w:name="_Toc530152499"/>
      <w:bookmarkEnd w:id="789"/>
      <w:bookmarkStart w:id="790" w:name="_Toc530162134"/>
      <w:bookmarkEnd w:id="790"/>
      <w:bookmarkStart w:id="791" w:name="_Toc530162570"/>
      <w:bookmarkEnd w:id="791"/>
      <w:bookmarkStart w:id="792" w:name="_Toc530162138"/>
      <w:bookmarkEnd w:id="792"/>
      <w:bookmarkStart w:id="793" w:name="_Toc530162939"/>
      <w:bookmarkEnd w:id="793"/>
      <w:bookmarkStart w:id="794" w:name="_Toc530162278"/>
      <w:bookmarkEnd w:id="794"/>
      <w:bookmarkStart w:id="795" w:name="_Toc530161994"/>
      <w:bookmarkEnd w:id="795"/>
      <w:bookmarkStart w:id="796" w:name="_Toc530152492"/>
      <w:bookmarkEnd w:id="796"/>
      <w:bookmarkStart w:id="797" w:name="_Toc530156288"/>
      <w:bookmarkEnd w:id="797"/>
      <w:bookmarkStart w:id="798" w:name="_Toc530162145"/>
      <w:bookmarkEnd w:id="798"/>
      <w:bookmarkStart w:id="799" w:name="_Toc530162713"/>
      <w:bookmarkEnd w:id="799"/>
      <w:bookmarkStart w:id="800" w:name="_Toc530162417"/>
      <w:bookmarkEnd w:id="800"/>
      <w:bookmarkStart w:id="801" w:name="_Toc530153038"/>
      <w:bookmarkEnd w:id="801"/>
      <w:bookmarkStart w:id="802" w:name="_Toc530162930"/>
      <w:bookmarkEnd w:id="802"/>
      <w:bookmarkStart w:id="803" w:name="_Toc530161991"/>
      <w:bookmarkEnd w:id="803"/>
      <w:bookmarkStart w:id="804" w:name="_Toc530162568"/>
      <w:bookmarkEnd w:id="804"/>
      <w:bookmarkStart w:id="805" w:name="_Toc530162571"/>
      <w:bookmarkEnd w:id="805"/>
      <w:bookmarkStart w:id="806" w:name="_Toc530162559"/>
      <w:bookmarkEnd w:id="806"/>
      <w:bookmarkStart w:id="807" w:name="_Toc530162714"/>
      <w:bookmarkEnd w:id="807"/>
      <w:bookmarkStart w:id="808" w:name="_Toc530152494"/>
      <w:bookmarkEnd w:id="808"/>
      <w:bookmarkStart w:id="809" w:name="_Toc530152500"/>
      <w:bookmarkEnd w:id="809"/>
      <w:bookmarkStart w:id="810" w:name="_Toc530162574"/>
      <w:bookmarkEnd w:id="810"/>
      <w:bookmarkStart w:id="811" w:name="_Toc530162281"/>
      <w:bookmarkEnd w:id="811"/>
      <w:bookmarkStart w:id="812" w:name="_Toc530162422"/>
      <w:bookmarkEnd w:id="812"/>
      <w:bookmarkStart w:id="813" w:name="_Toc530162149"/>
      <w:bookmarkEnd w:id="813"/>
      <w:bookmarkStart w:id="814" w:name="_Toc530162132"/>
      <w:bookmarkEnd w:id="814"/>
      <w:bookmarkStart w:id="815" w:name="_Toc530156291"/>
      <w:bookmarkEnd w:id="815"/>
      <w:bookmarkStart w:id="816" w:name="_Toc530162558"/>
      <w:bookmarkEnd w:id="816"/>
      <w:bookmarkStart w:id="817" w:name="_Toc530152992"/>
      <w:bookmarkEnd w:id="817"/>
      <w:bookmarkStart w:id="818" w:name="_Toc530152903"/>
      <w:bookmarkEnd w:id="818"/>
      <w:bookmarkStart w:id="819" w:name="_Toc530152485"/>
      <w:bookmarkEnd w:id="819"/>
      <w:bookmarkStart w:id="820" w:name="_Toc530152971"/>
      <w:bookmarkEnd w:id="820"/>
      <w:bookmarkStart w:id="821" w:name="_Toc530156284"/>
      <w:bookmarkEnd w:id="821"/>
      <w:bookmarkStart w:id="822" w:name="_Toc530161995"/>
      <w:bookmarkEnd w:id="822"/>
      <w:bookmarkStart w:id="823" w:name="_Toc530162567"/>
      <w:bookmarkEnd w:id="823"/>
      <w:bookmarkStart w:id="824" w:name="_Toc530162271"/>
      <w:bookmarkEnd w:id="824"/>
      <w:bookmarkStart w:id="825" w:name="_Toc530162584"/>
      <w:bookmarkEnd w:id="825"/>
      <w:bookmarkStart w:id="826" w:name="_Toc530152986"/>
      <w:bookmarkEnd w:id="826"/>
      <w:bookmarkStart w:id="827" w:name="_Toc530162708"/>
      <w:bookmarkEnd w:id="827"/>
      <w:bookmarkStart w:id="828" w:name="_Toc530162727"/>
      <w:bookmarkEnd w:id="828"/>
      <w:bookmarkStart w:id="829" w:name="_Toc530156297"/>
      <w:bookmarkEnd w:id="829"/>
      <w:bookmarkStart w:id="830" w:name="_Toc530153046"/>
      <w:bookmarkEnd w:id="830"/>
      <w:bookmarkStart w:id="831" w:name="_Toc530162428"/>
      <w:bookmarkEnd w:id="831"/>
      <w:bookmarkStart w:id="832" w:name="_Toc530152978"/>
      <w:bookmarkEnd w:id="832"/>
      <w:bookmarkStart w:id="833" w:name="_Toc530153040"/>
      <w:bookmarkEnd w:id="833"/>
      <w:bookmarkStart w:id="834" w:name="_Toc530162436"/>
      <w:bookmarkEnd w:id="834"/>
      <w:bookmarkStart w:id="835" w:name="_Toc530162439"/>
      <w:bookmarkEnd w:id="835"/>
      <w:bookmarkStart w:id="836" w:name="_Toc530153032"/>
      <w:bookmarkEnd w:id="836"/>
      <w:bookmarkStart w:id="837" w:name="_Toc530162420"/>
      <w:bookmarkEnd w:id="837"/>
      <w:bookmarkStart w:id="838" w:name="_Toc530162003"/>
      <w:bookmarkEnd w:id="838"/>
      <w:bookmarkStart w:id="839" w:name="_Toc530153041"/>
      <w:bookmarkEnd w:id="839"/>
      <w:bookmarkStart w:id="840" w:name="_Toc530152507"/>
      <w:bookmarkEnd w:id="840"/>
      <w:bookmarkStart w:id="841" w:name="_Toc530153035"/>
      <w:bookmarkEnd w:id="841"/>
      <w:bookmarkStart w:id="842" w:name="_Toc530162273"/>
      <w:bookmarkEnd w:id="842"/>
      <w:bookmarkStart w:id="843" w:name="_Toc530162004"/>
      <w:bookmarkEnd w:id="843"/>
      <w:bookmarkStart w:id="844" w:name="_Toc530153059"/>
      <w:bookmarkEnd w:id="844"/>
      <w:bookmarkStart w:id="845" w:name="_Toc530152904"/>
      <w:bookmarkEnd w:id="845"/>
      <w:bookmarkStart w:id="846" w:name="_Toc530162148"/>
      <w:bookmarkEnd w:id="846"/>
      <w:bookmarkStart w:id="847" w:name="_Toc530162578"/>
      <w:bookmarkEnd w:id="847"/>
      <w:bookmarkStart w:id="848" w:name="_Toc530162284"/>
      <w:bookmarkEnd w:id="848"/>
      <w:bookmarkStart w:id="849" w:name="_Toc532394159"/>
      <w:bookmarkEnd w:id="849"/>
      <w:bookmarkStart w:id="850" w:name="_Toc530162285"/>
      <w:bookmarkEnd w:id="850"/>
      <w:bookmarkStart w:id="851" w:name="_Toc530152916"/>
      <w:bookmarkEnd w:id="851"/>
      <w:bookmarkStart w:id="852" w:name="_Toc530162421"/>
      <w:bookmarkEnd w:id="852"/>
      <w:bookmarkStart w:id="853" w:name="_Toc530156295"/>
      <w:bookmarkEnd w:id="853"/>
      <w:bookmarkStart w:id="854" w:name="_Toc530152987"/>
      <w:bookmarkEnd w:id="854"/>
      <w:bookmarkStart w:id="855" w:name="_Toc530152512"/>
      <w:bookmarkEnd w:id="855"/>
      <w:bookmarkStart w:id="856" w:name="_Toc530162717"/>
      <w:bookmarkEnd w:id="856"/>
      <w:bookmarkStart w:id="857" w:name="_Toc530162270"/>
      <w:bookmarkEnd w:id="857"/>
      <w:bookmarkStart w:id="858" w:name="_Toc530161978"/>
      <w:bookmarkEnd w:id="858"/>
      <w:bookmarkStart w:id="859" w:name="_Toc530152913"/>
      <w:bookmarkEnd w:id="859"/>
      <w:bookmarkStart w:id="860" w:name="_Toc530162582"/>
      <w:bookmarkEnd w:id="860"/>
      <w:bookmarkStart w:id="861" w:name="_Toc530152491"/>
      <w:bookmarkEnd w:id="861"/>
      <w:bookmarkStart w:id="862" w:name="_Toc530162147"/>
      <w:bookmarkEnd w:id="862"/>
      <w:bookmarkStart w:id="863" w:name="_Toc530162291"/>
      <w:bookmarkEnd w:id="863"/>
      <w:bookmarkStart w:id="864" w:name="_Toc530162274"/>
      <w:bookmarkEnd w:id="864"/>
      <w:bookmarkStart w:id="865" w:name="_Toc530161983"/>
      <w:bookmarkEnd w:id="865"/>
      <w:bookmarkStart w:id="866" w:name="_Toc530152969"/>
      <w:bookmarkEnd w:id="866"/>
      <w:bookmarkStart w:id="867" w:name="_Toc530162579"/>
      <w:bookmarkEnd w:id="867"/>
      <w:bookmarkStart w:id="868" w:name="_Toc530156301"/>
      <w:bookmarkEnd w:id="868"/>
      <w:bookmarkStart w:id="869" w:name="_Toc530152974"/>
      <w:bookmarkEnd w:id="869"/>
      <w:bookmarkStart w:id="870" w:name="_Toc530161989"/>
      <w:bookmarkEnd w:id="870"/>
      <w:bookmarkStart w:id="871" w:name="_Toc530152925"/>
      <w:bookmarkEnd w:id="871"/>
      <w:bookmarkStart w:id="872" w:name="_Toc530162288"/>
      <w:bookmarkEnd w:id="872"/>
      <w:bookmarkStart w:id="873" w:name="_Toc530162936"/>
      <w:bookmarkEnd w:id="873"/>
      <w:bookmarkStart w:id="874" w:name="_Toc530153050"/>
      <w:bookmarkEnd w:id="874"/>
      <w:bookmarkStart w:id="875" w:name="_Toc530162949"/>
      <w:bookmarkEnd w:id="875"/>
      <w:bookmarkStart w:id="876" w:name="_Toc530152503"/>
      <w:bookmarkEnd w:id="876"/>
      <w:bookmarkStart w:id="877" w:name="_Toc530162711"/>
      <w:bookmarkEnd w:id="877"/>
      <w:bookmarkStart w:id="878" w:name="_Toc530162952"/>
      <w:bookmarkEnd w:id="878"/>
      <w:bookmarkStart w:id="879" w:name="_Toc530162937"/>
      <w:bookmarkEnd w:id="879"/>
      <w:bookmarkStart w:id="880" w:name="_Toc530153052"/>
      <w:bookmarkEnd w:id="880"/>
      <w:bookmarkStart w:id="881" w:name="_Toc530153053"/>
      <w:bookmarkEnd w:id="881"/>
      <w:bookmarkStart w:id="882" w:name="_Toc530152920"/>
      <w:bookmarkEnd w:id="882"/>
      <w:bookmarkStart w:id="883" w:name="_Toc530161980"/>
      <w:bookmarkEnd w:id="883"/>
      <w:bookmarkStart w:id="884" w:name="_Toc530162123"/>
      <w:bookmarkEnd w:id="884"/>
      <w:bookmarkStart w:id="885" w:name="_Toc530152898"/>
      <w:bookmarkEnd w:id="885"/>
      <w:bookmarkStart w:id="886" w:name="_Toc530162413"/>
      <w:bookmarkEnd w:id="886"/>
      <w:bookmarkStart w:id="887" w:name="_Toc530162128"/>
      <w:bookmarkEnd w:id="887"/>
      <w:bookmarkStart w:id="888" w:name="_Toc530161999"/>
      <w:bookmarkEnd w:id="888"/>
      <w:bookmarkStart w:id="889" w:name="_Toc530152504"/>
      <w:bookmarkEnd w:id="889"/>
      <w:bookmarkStart w:id="890" w:name="_Toc530162585"/>
      <w:bookmarkEnd w:id="890"/>
      <w:bookmarkStart w:id="891" w:name="_Toc532393487"/>
      <w:bookmarkEnd w:id="891"/>
      <w:bookmarkStart w:id="892" w:name="_Toc530162418"/>
      <w:bookmarkEnd w:id="892"/>
      <w:bookmarkStart w:id="893" w:name="_Toc530162564"/>
      <w:bookmarkEnd w:id="893"/>
      <w:bookmarkStart w:id="894" w:name="_Toc530162431"/>
      <w:bookmarkEnd w:id="894"/>
      <w:bookmarkStart w:id="895" w:name="_Toc530162290"/>
      <w:bookmarkEnd w:id="895"/>
      <w:bookmarkStart w:id="896" w:name="_Toc530162951"/>
      <w:bookmarkEnd w:id="896"/>
      <w:bookmarkStart w:id="897" w:name="_Toc530162289"/>
      <w:bookmarkEnd w:id="897"/>
      <w:bookmarkStart w:id="898" w:name="_Toc530162269"/>
      <w:bookmarkEnd w:id="898"/>
      <w:bookmarkStart w:id="899" w:name="_Toc530152487"/>
      <w:bookmarkEnd w:id="899"/>
      <w:bookmarkStart w:id="900" w:name="_Toc530156286"/>
      <w:bookmarkEnd w:id="900"/>
      <w:bookmarkStart w:id="901" w:name="_Toc530152919"/>
      <w:bookmarkEnd w:id="901"/>
      <w:bookmarkStart w:id="902" w:name="_Toc530156277"/>
      <w:bookmarkEnd w:id="902"/>
      <w:bookmarkStart w:id="903" w:name="_Toc530162142"/>
      <w:bookmarkEnd w:id="903"/>
      <w:bookmarkStart w:id="904" w:name="_Toc530162701"/>
      <w:bookmarkEnd w:id="904"/>
      <w:bookmarkStart w:id="905" w:name="_Toc530152924"/>
      <w:bookmarkEnd w:id="905"/>
      <w:bookmarkStart w:id="906" w:name="_Toc530152914"/>
      <w:bookmarkEnd w:id="906"/>
      <w:bookmarkStart w:id="907" w:name="_Toc530162121"/>
      <w:bookmarkEnd w:id="907"/>
      <w:bookmarkStart w:id="908" w:name="_Toc530162933"/>
      <w:bookmarkEnd w:id="908"/>
      <w:bookmarkStart w:id="909" w:name="_Toc530162569"/>
      <w:bookmarkEnd w:id="909"/>
      <w:bookmarkStart w:id="910" w:name="_Toc530162129"/>
      <w:bookmarkEnd w:id="910"/>
      <w:bookmarkStart w:id="911" w:name="_Toc530156287"/>
      <w:bookmarkEnd w:id="911"/>
      <w:bookmarkStart w:id="912" w:name="_Toc530162557"/>
      <w:bookmarkEnd w:id="912"/>
      <w:bookmarkStart w:id="913" w:name="_Toc530153034"/>
      <w:bookmarkEnd w:id="913"/>
      <w:bookmarkStart w:id="914" w:name="_Toc530162561"/>
      <w:bookmarkEnd w:id="914"/>
      <w:bookmarkStart w:id="915" w:name="_Toc530162924"/>
      <w:bookmarkEnd w:id="915"/>
      <w:bookmarkStart w:id="916" w:name="_Toc530162126"/>
      <w:bookmarkEnd w:id="916"/>
      <w:bookmarkStart w:id="917" w:name="_Toc530153055"/>
      <w:bookmarkEnd w:id="917"/>
      <w:bookmarkStart w:id="918" w:name="_Toc530152970"/>
      <w:bookmarkEnd w:id="918"/>
      <w:bookmarkStart w:id="919" w:name="_Toc530152490"/>
      <w:bookmarkEnd w:id="919"/>
      <w:bookmarkStart w:id="920" w:name="_Toc530162566"/>
      <w:bookmarkEnd w:id="920"/>
      <w:bookmarkStart w:id="921" w:name="_Toc530162581"/>
      <w:bookmarkEnd w:id="921"/>
      <w:bookmarkStart w:id="922" w:name="_Toc530161981"/>
      <w:bookmarkEnd w:id="922"/>
      <w:bookmarkStart w:id="923" w:name="_Toc530162268"/>
      <w:bookmarkEnd w:id="923"/>
      <w:bookmarkStart w:id="924" w:name="_Toc530162709"/>
      <w:bookmarkEnd w:id="924"/>
      <w:bookmarkStart w:id="925" w:name="_Toc530156275"/>
      <w:bookmarkEnd w:id="925"/>
      <w:bookmarkStart w:id="926" w:name="_Toc530162704"/>
      <w:bookmarkEnd w:id="926"/>
      <w:bookmarkStart w:id="927" w:name="_Toc530162935"/>
      <w:bookmarkEnd w:id="927"/>
      <w:bookmarkStart w:id="928" w:name="_Toc530162122"/>
      <w:bookmarkEnd w:id="928"/>
      <w:bookmarkStart w:id="929" w:name="_Toc530162001"/>
      <w:bookmarkEnd w:id="929"/>
      <w:bookmarkStart w:id="930" w:name="_Toc530152964"/>
      <w:bookmarkEnd w:id="930"/>
      <w:bookmarkStart w:id="931" w:name="_Toc530161984"/>
      <w:bookmarkEnd w:id="931"/>
      <w:bookmarkStart w:id="932" w:name="_Toc530162947"/>
      <w:bookmarkEnd w:id="932"/>
      <w:bookmarkStart w:id="933" w:name="_Toc530161990"/>
      <w:bookmarkEnd w:id="933"/>
      <w:bookmarkStart w:id="934" w:name="_Toc530156280"/>
      <w:bookmarkEnd w:id="934"/>
      <w:bookmarkStart w:id="935" w:name="_Toc530162267"/>
      <w:bookmarkEnd w:id="935"/>
      <w:bookmarkStart w:id="936" w:name="_Toc530152911"/>
      <w:bookmarkEnd w:id="936"/>
      <w:bookmarkStart w:id="937" w:name="_Toc530152976"/>
      <w:bookmarkEnd w:id="937"/>
      <w:bookmarkStart w:id="938" w:name="_Toc530162141"/>
      <w:bookmarkEnd w:id="938"/>
      <w:bookmarkStart w:id="939" w:name="_Toc530152897"/>
      <w:bookmarkEnd w:id="939"/>
      <w:bookmarkStart w:id="940" w:name="_Toc530162703"/>
      <w:bookmarkEnd w:id="940"/>
      <w:bookmarkStart w:id="941" w:name="_Toc530152977"/>
      <w:bookmarkEnd w:id="941"/>
      <w:bookmarkStart w:id="942" w:name="_Toc530152510"/>
      <w:bookmarkEnd w:id="942"/>
      <w:bookmarkStart w:id="943" w:name="_Toc530152988"/>
      <w:bookmarkEnd w:id="943"/>
      <w:bookmarkStart w:id="944" w:name="_Toc530153057"/>
      <w:bookmarkEnd w:id="944"/>
      <w:bookmarkStart w:id="945" w:name="_Toc530152981"/>
      <w:bookmarkEnd w:id="945"/>
      <w:bookmarkStart w:id="946" w:name="_Toc530156303"/>
      <w:bookmarkEnd w:id="946"/>
      <w:bookmarkStart w:id="947" w:name="_Toc530162433"/>
      <w:bookmarkEnd w:id="947"/>
      <w:bookmarkStart w:id="948" w:name="_Toc530162702"/>
      <w:bookmarkEnd w:id="948"/>
      <w:bookmarkStart w:id="949" w:name="_Toc530162133"/>
      <w:bookmarkEnd w:id="949"/>
      <w:bookmarkStart w:id="950" w:name="_Toc530152973"/>
      <w:bookmarkEnd w:id="950"/>
      <w:bookmarkStart w:id="951" w:name="_Toc530162723"/>
      <w:bookmarkEnd w:id="951"/>
      <w:bookmarkStart w:id="952" w:name="_Toc530152967"/>
      <w:bookmarkEnd w:id="952"/>
      <w:bookmarkStart w:id="953" w:name="_Toc530162280"/>
      <w:bookmarkEnd w:id="953"/>
      <w:bookmarkStart w:id="954" w:name="_Toc530152985"/>
      <w:bookmarkEnd w:id="954"/>
      <w:bookmarkStart w:id="955" w:name="_Toc530152991"/>
      <w:bookmarkEnd w:id="955"/>
      <w:bookmarkStart w:id="956" w:name="_Toc530156302"/>
      <w:bookmarkEnd w:id="956"/>
      <w:bookmarkStart w:id="957" w:name="_Toc530162705"/>
      <w:bookmarkEnd w:id="957"/>
      <w:bookmarkStart w:id="958" w:name="_Toc530152965"/>
      <w:bookmarkEnd w:id="958"/>
      <w:bookmarkStart w:id="959" w:name="_Toc530162005"/>
      <w:bookmarkEnd w:id="959"/>
      <w:bookmarkStart w:id="960" w:name="_Toc530152902"/>
      <w:bookmarkEnd w:id="960"/>
      <w:bookmarkStart w:id="961" w:name="_Toc530162423"/>
      <w:bookmarkEnd w:id="961"/>
      <w:bookmarkStart w:id="962" w:name="_Toc530162931"/>
      <w:bookmarkEnd w:id="962"/>
      <w:bookmarkStart w:id="963" w:name="_Toc530156281"/>
      <w:bookmarkEnd w:id="963"/>
      <w:bookmarkStart w:id="964" w:name="_Toc530162137"/>
      <w:bookmarkEnd w:id="964"/>
      <w:bookmarkStart w:id="965" w:name="_Toc530162948"/>
      <w:bookmarkEnd w:id="965"/>
      <w:bookmarkStart w:id="966" w:name="_Toc530152980"/>
      <w:bookmarkEnd w:id="966"/>
      <w:bookmarkStart w:id="967" w:name="_Toc530162715"/>
      <w:bookmarkEnd w:id="967"/>
      <w:bookmarkStart w:id="968" w:name="_Toc530162926"/>
      <w:bookmarkEnd w:id="968"/>
      <w:bookmarkStart w:id="969" w:name="_Toc530161979"/>
      <w:bookmarkEnd w:id="969"/>
      <w:bookmarkStart w:id="970" w:name="_Toc530153039"/>
      <w:bookmarkEnd w:id="970"/>
      <w:bookmarkStart w:id="971" w:name="_Toc530156278"/>
      <w:bookmarkEnd w:id="971"/>
      <w:bookmarkStart w:id="972" w:name="_Toc530152486"/>
      <w:bookmarkEnd w:id="972"/>
      <w:bookmarkStart w:id="973" w:name="_Toc530153043"/>
      <w:bookmarkEnd w:id="973"/>
      <w:bookmarkStart w:id="974" w:name="_Toc530152900"/>
      <w:bookmarkEnd w:id="974"/>
      <w:bookmarkStart w:id="975" w:name="_Toc530162710"/>
      <w:bookmarkEnd w:id="975"/>
      <w:bookmarkStart w:id="976" w:name="_Toc530162415"/>
      <w:bookmarkEnd w:id="976"/>
      <w:bookmarkStart w:id="977" w:name="_Toc530152908"/>
      <w:bookmarkEnd w:id="977"/>
      <w:bookmarkStart w:id="978" w:name="_Toc530152901"/>
      <w:bookmarkEnd w:id="978"/>
      <w:bookmarkStart w:id="979" w:name="_Toc530152968"/>
      <w:bookmarkEnd w:id="979"/>
      <w:bookmarkStart w:id="980" w:name="_Toc530156285"/>
      <w:bookmarkEnd w:id="980"/>
      <w:bookmarkStart w:id="981" w:name="_Toc530161997"/>
      <w:bookmarkEnd w:id="981"/>
      <w:bookmarkStart w:id="982" w:name="_Toc530162700"/>
      <w:bookmarkEnd w:id="982"/>
      <w:bookmarkStart w:id="983" w:name="_Toc530153037"/>
      <w:bookmarkEnd w:id="983"/>
      <w:bookmarkStart w:id="984" w:name="_Toc530152899"/>
      <w:bookmarkEnd w:id="984"/>
      <w:bookmarkStart w:id="985" w:name="_Toc530152488"/>
      <w:bookmarkEnd w:id="985"/>
      <w:bookmarkStart w:id="986" w:name="_Toc530162929"/>
      <w:bookmarkEnd w:id="986"/>
      <w:bookmarkStart w:id="987" w:name="_Toc530152909"/>
      <w:bookmarkEnd w:id="987"/>
      <w:bookmarkStart w:id="988" w:name="_Toc530156294"/>
      <w:bookmarkEnd w:id="988"/>
      <w:bookmarkStart w:id="989" w:name="_Toc530153033"/>
      <w:bookmarkEnd w:id="989"/>
      <w:bookmarkStart w:id="990" w:name="_Toc530162414"/>
      <w:bookmarkEnd w:id="990"/>
      <w:bookmarkStart w:id="991" w:name="_Toc530162928"/>
      <w:bookmarkEnd w:id="991"/>
      <w:bookmarkStart w:id="992" w:name="_Toc530156279"/>
      <w:bookmarkEnd w:id="992"/>
      <w:bookmarkStart w:id="993" w:name="_Toc530162416"/>
      <w:bookmarkEnd w:id="993"/>
      <w:bookmarkStart w:id="994" w:name="_Toc530161998"/>
      <w:bookmarkEnd w:id="994"/>
      <w:bookmarkStart w:id="995" w:name="_Toc530162562"/>
      <w:bookmarkEnd w:id="995"/>
      <w:bookmarkStart w:id="996" w:name="_Toc530152912"/>
      <w:bookmarkEnd w:id="996"/>
      <w:bookmarkStart w:id="997" w:name="_Toc530162124"/>
      <w:bookmarkEnd w:id="997"/>
      <w:bookmarkStart w:id="998" w:name="_Toc530162424"/>
      <w:bookmarkEnd w:id="998"/>
      <w:bookmarkStart w:id="999" w:name="_Toc530162266"/>
      <w:bookmarkEnd w:id="999"/>
      <w:bookmarkStart w:id="1000" w:name="_Toc530162135"/>
      <w:bookmarkEnd w:id="1000"/>
      <w:bookmarkStart w:id="1001" w:name="_Toc530162950"/>
      <w:bookmarkEnd w:id="1001"/>
      <w:bookmarkStart w:id="1002" w:name="_Toc530162925"/>
      <w:bookmarkEnd w:id="1002"/>
      <w:bookmarkStart w:id="1003" w:name="_Toc530156276"/>
      <w:bookmarkEnd w:id="1003"/>
      <w:bookmarkStart w:id="1004" w:name="_Toc530162136"/>
      <w:bookmarkEnd w:id="1004"/>
      <w:bookmarkStart w:id="1005" w:name="_Toc530152906"/>
      <w:bookmarkEnd w:id="1005"/>
      <w:bookmarkStart w:id="1006" w:name="_Toc530153031"/>
      <w:bookmarkEnd w:id="1006"/>
      <w:bookmarkStart w:id="1007" w:name="_Toc530152979"/>
      <w:bookmarkEnd w:id="1007"/>
      <w:bookmarkStart w:id="1008" w:name="_Toc530152910"/>
      <w:bookmarkEnd w:id="1008"/>
      <w:bookmarkStart w:id="1009" w:name="_Toc530162583"/>
      <w:bookmarkEnd w:id="1009"/>
      <w:bookmarkStart w:id="1010" w:name="_Toc530162287"/>
      <w:bookmarkEnd w:id="1010"/>
      <w:bookmarkStart w:id="1011" w:name="_Toc530153036"/>
      <w:bookmarkEnd w:id="1011"/>
      <w:bookmarkStart w:id="1012" w:name="_Toc530162712"/>
      <w:bookmarkEnd w:id="1012"/>
      <w:bookmarkStart w:id="1013" w:name="_Toc530162724"/>
      <w:bookmarkEnd w:id="1013"/>
      <w:bookmarkStart w:id="1014" w:name="_Toc530162932"/>
      <w:bookmarkEnd w:id="1014"/>
      <w:bookmarkStart w:id="1015" w:name="_Toc530162146"/>
      <w:bookmarkEnd w:id="1015"/>
      <w:bookmarkStart w:id="1016" w:name="_Toc530153054"/>
      <w:bookmarkEnd w:id="1016"/>
      <w:bookmarkStart w:id="1017" w:name="_Toc530162699"/>
      <w:bookmarkEnd w:id="1017"/>
      <w:bookmarkStart w:id="1018" w:name="_Toc530152508"/>
      <w:bookmarkEnd w:id="1018"/>
      <w:bookmarkStart w:id="1019" w:name="_Toc14307"/>
      <w:r>
        <w:rPr>
          <w:rFonts w:hint="eastAsia"/>
        </w:rPr>
        <w:t>第六节  听证与复核</w:t>
      </w:r>
      <w:bookmarkEnd w:id="1019"/>
    </w:p>
    <w:p>
      <w:pPr>
        <w:numPr>
          <w:ilvl w:val="2"/>
          <w:numId w:val="51"/>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上市公司收到本所发出的终止上市事先告知书后，可以在5个交易日内，以书面形式向本所提出听证要求，并载明具体事项及理由。</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上市公司对终止上市有异议的，可以在收到本所</w:t>
      </w:r>
      <w:r>
        <w:rPr>
          <w:rFonts w:ascii="仿宋_GB2312" w:hAnsi="黑体" w:eastAsia="仿宋_GB2312"/>
          <w:sz w:val="32"/>
          <w:szCs w:val="32"/>
        </w:rPr>
        <w:t>发出的终止上市</w:t>
      </w:r>
      <w:r>
        <w:rPr>
          <w:rFonts w:hint="eastAsia" w:ascii="仿宋_GB2312" w:hAnsi="黑体" w:eastAsia="仿宋_GB2312"/>
          <w:sz w:val="32"/>
          <w:szCs w:val="32"/>
        </w:rPr>
        <w:t>事先</w:t>
      </w:r>
      <w:r>
        <w:rPr>
          <w:rFonts w:ascii="仿宋_GB2312" w:hAnsi="黑体" w:eastAsia="仿宋_GB2312"/>
          <w:sz w:val="32"/>
          <w:szCs w:val="32"/>
        </w:rPr>
        <w:t>告知书后</w:t>
      </w:r>
      <w:r>
        <w:rPr>
          <w:rFonts w:hint="eastAsia" w:ascii="仿宋_GB2312" w:hAnsi="黑体" w:eastAsia="仿宋_GB2312"/>
          <w:sz w:val="32"/>
          <w:szCs w:val="32"/>
        </w:rPr>
        <w:t>10个</w:t>
      </w:r>
      <w:r>
        <w:rPr>
          <w:rFonts w:ascii="仿宋_GB2312" w:hAnsi="黑体" w:eastAsia="仿宋_GB2312"/>
          <w:sz w:val="32"/>
          <w:szCs w:val="32"/>
        </w:rPr>
        <w:t>交易日</w:t>
      </w:r>
      <w:r>
        <w:rPr>
          <w:rFonts w:hint="eastAsia" w:ascii="仿宋_GB2312" w:hAnsi="黑体" w:eastAsia="仿宋_GB2312"/>
          <w:sz w:val="32"/>
          <w:szCs w:val="32"/>
        </w:rPr>
        <w:t>内，向本所提交相关书面陈述和申辩，并提供相关文件。</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上市公司未在本条规定期限内提出听证要求、书面陈述或者申辩的，视为放弃相应权利。</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上市公司在本条规定期限内提出听证要求的，由本所上市委员会按照有关规定组织召开听证会。</w:t>
      </w:r>
    </w:p>
    <w:p>
      <w:pPr>
        <w:numPr>
          <w:ilvl w:val="2"/>
          <w:numId w:val="51"/>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上市委员会组织召开听证和审议期间，可以要求上市公司、证券公司和证券服务机构提供补充材料，提供补充材料期间不计入听证及审议期限。</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上市公司和相关机构提供补充材料的期限累计不得超过30个交易日。公司和相关机构未按本所要求在规定期限内提交补充材料的，本所上市委员会继续进行听证或者审议。</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本所可以自行或委托相关机构就上市公司有关情况进行调查核实，并将核查结果提交上市委员会审议。调查核实期间不计入审议期限。</w:t>
      </w:r>
    </w:p>
    <w:p>
      <w:pPr>
        <w:numPr>
          <w:ilvl w:val="2"/>
          <w:numId w:val="51"/>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上市公司可以在收到终止上市决定或者本所公告终止</w:t>
      </w:r>
      <w:r>
        <w:rPr>
          <w:rFonts w:ascii="仿宋_GB2312" w:hAnsi="黑体" w:eastAsia="仿宋_GB2312"/>
          <w:sz w:val="32"/>
          <w:szCs w:val="32"/>
        </w:rPr>
        <w:t>上市</w:t>
      </w:r>
      <w:r>
        <w:rPr>
          <w:rFonts w:hint="eastAsia" w:ascii="仿宋_GB2312" w:hAnsi="黑体" w:eastAsia="仿宋_GB2312"/>
          <w:sz w:val="32"/>
          <w:szCs w:val="32"/>
        </w:rPr>
        <w:t>决定之日（以在先者为准）起5个交易日内，以书面形式向本所申请复核。</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公司应当在向本所提出复核申请之日的次一交易日披露有关内容。</w:t>
      </w:r>
    </w:p>
    <w:p>
      <w:pPr>
        <w:numPr>
          <w:ilvl w:val="2"/>
          <w:numId w:val="51"/>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上市公司根据前条规定向本所申请复核，应当提交下列文件：</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（一）复核申请书；</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（二）证券</w:t>
      </w:r>
      <w:r>
        <w:rPr>
          <w:rFonts w:ascii="仿宋_GB2312" w:hAnsi="黑体" w:eastAsia="仿宋_GB2312"/>
          <w:sz w:val="32"/>
          <w:szCs w:val="32"/>
        </w:rPr>
        <w:t>公司</w:t>
      </w:r>
      <w:r>
        <w:rPr>
          <w:rFonts w:hint="eastAsia" w:ascii="仿宋_GB2312" w:hAnsi="黑体" w:eastAsia="仿宋_GB2312"/>
          <w:sz w:val="32"/>
          <w:szCs w:val="32"/>
        </w:rPr>
        <w:t>就申请复核事项出具的意见书；</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（三）律师事务所就申请复核事项出具的法律意见书；</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（四）本所要求的其他文件。</w:t>
      </w:r>
    </w:p>
    <w:p>
      <w:pPr>
        <w:numPr>
          <w:ilvl w:val="2"/>
          <w:numId w:val="51"/>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本所在收到申请人提交的复核申请文件之日后的5个交易日内，作出是否受理的决定并通知申请人。</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未能按照前条规定提交复核申请文件的，本所不受理其复核申请。</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申请人应当在收到本所是否受理其复核申请的决定后，及时披露决定的有关内容并提示相关风险。</w:t>
      </w:r>
    </w:p>
    <w:p>
      <w:pPr>
        <w:numPr>
          <w:ilvl w:val="2"/>
          <w:numId w:val="51"/>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本所复核委员会根据《上海证券交易所复核实施办法》的规定进行复核。</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复核委员会审议期间，可以要求上市公司、证券</w:t>
      </w:r>
      <w:r>
        <w:rPr>
          <w:rFonts w:ascii="仿宋_GB2312" w:hAnsi="黑体" w:eastAsia="仿宋_GB2312"/>
          <w:sz w:val="32"/>
          <w:szCs w:val="32"/>
        </w:rPr>
        <w:t>公司</w:t>
      </w:r>
      <w:r>
        <w:rPr>
          <w:rFonts w:hint="eastAsia" w:ascii="仿宋_GB2312" w:hAnsi="黑体" w:eastAsia="仿宋_GB2312"/>
          <w:sz w:val="32"/>
          <w:szCs w:val="32"/>
        </w:rPr>
        <w:t>和证券服务机构提供补充材料，提供补充材料期间不计入听证及审议期限。</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公司和相关机构提供补充材料的期限累计不得超过30个交易日。公司和相关机构未按本所要求在规定期限内提交补充材料的，本所复核委员会继续进行听证或者审议。</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本所可以自行或委托相关机构就公司有关情况进行调查核实，并将核查结果提交复核委员会审议。调查核实期间不计入审议期限。</w:t>
      </w:r>
    </w:p>
    <w:p>
      <w:pPr>
        <w:numPr>
          <w:ilvl w:val="2"/>
          <w:numId w:val="51"/>
        </w:numPr>
        <w:tabs>
          <w:tab w:val="left" w:pos="1560"/>
          <w:tab w:val="left" w:pos="1843"/>
          <w:tab w:val="left" w:pos="1985"/>
          <w:tab w:val="left" w:pos="2127"/>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本所依据复核委员会的审核意见，作出是否维持终止上市的决定。</w:t>
      </w:r>
    </w:p>
    <w:p>
      <w:pPr>
        <w:tabs>
          <w:tab w:val="left" w:pos="1560"/>
          <w:tab w:val="left" w:pos="1843"/>
          <w:tab w:val="left" w:pos="1985"/>
          <w:tab w:val="left" w:pos="2127"/>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申请人应当在收到本所的复核决定后，及时披露决定的有关内容。</w:t>
      </w:r>
    </w:p>
    <w:p>
      <w:pPr>
        <w:pStyle w:val="36"/>
      </w:pPr>
      <w:bookmarkStart w:id="1020" w:name="_Toc13292"/>
      <w:r>
        <w:rPr>
          <w:rFonts w:hint="eastAsia"/>
        </w:rPr>
        <w:t>第七节  退市整理期</w:t>
      </w:r>
      <w:bookmarkEnd w:id="1020"/>
    </w:p>
    <w:p>
      <w:pPr>
        <w:pStyle w:val="34"/>
        <w:numPr>
          <w:ilvl w:val="0"/>
          <w:numId w:val="52"/>
        </w:numPr>
        <w:tabs>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上市公司股票被本所根据本章第二节、第四节、第五节的规定作出终止上市决定后，自本所公告终止上市决定之日后5个交易日届满的次一交易日复牌，进入退市整理期交易</w:t>
      </w:r>
      <w:r>
        <w:rPr>
          <w:rFonts w:ascii="仿宋_GB2312" w:hAnsi="黑体"/>
          <w:kern w:val="2"/>
          <w:sz w:val="32"/>
          <w:szCs w:val="32"/>
        </w:rPr>
        <w:t>。</w:t>
      </w:r>
    </w:p>
    <w:p>
      <w:pPr>
        <w:pStyle w:val="34"/>
        <w:tabs>
          <w:tab w:val="left" w:pos="1560"/>
        </w:tabs>
        <w:snapToGrid w:val="0"/>
        <w:spacing w:line="560" w:lineRule="exact"/>
        <w:ind w:left="640" w:firstLine="0" w:firstLineChars="0"/>
        <w:rPr>
          <w:rFonts w:ascii="仿宋_GB2312" w:hAnsi="黑体"/>
          <w:sz w:val="32"/>
          <w:szCs w:val="32"/>
        </w:rPr>
      </w:pPr>
      <w:r>
        <w:rPr>
          <w:rFonts w:hint="eastAsia" w:ascii="仿宋_GB2312" w:hAnsi="黑体"/>
          <w:sz w:val="32"/>
          <w:szCs w:val="32"/>
        </w:rPr>
        <w:t>退市整理股票的简称前冠以“退市”标识。</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上市公司处于破产重整进程，且经法院或者破产管理人认定，如公司股票进入退市整理期交易，将与破产程序或者法院批准的公司重整计划的执行存在冲突的，公司股票可以不进入退市整理期交易。</w:t>
      </w:r>
    </w:p>
    <w:p>
      <w:pPr>
        <w:pStyle w:val="34"/>
        <w:numPr>
          <w:ilvl w:val="0"/>
          <w:numId w:val="52"/>
        </w:numPr>
        <w:tabs>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退市整理期的交易期限为15个交易日。公司股票在退市整理期内全天停牌的，停牌期间不计入退市整理期，但停牌天数累计不得超过5个交易日。</w:t>
      </w:r>
    </w:p>
    <w:p>
      <w:pPr>
        <w:tabs>
          <w:tab w:val="left" w:pos="1560"/>
        </w:tabs>
        <w:snapToGrid w:val="0"/>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累计停牌达到5个交易日后，本所不再接受公司的停牌申请；公司未在累计停牌期满前申请复牌的，本所于停牌期满后的次一交易日恢复公司股票交易。</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仿宋" w:eastAsia="仿宋_GB2312" w:cs="Arial"/>
          <w:sz w:val="32"/>
          <w:szCs w:val="32"/>
        </w:rPr>
        <w:t>公司股票进入</w:t>
      </w:r>
      <w:r>
        <w:rPr>
          <w:rFonts w:ascii="仿宋_GB2312" w:hAnsi="仿宋" w:eastAsia="仿宋_GB2312" w:cs="Arial"/>
          <w:sz w:val="32"/>
          <w:szCs w:val="32"/>
        </w:rPr>
        <w:t>退市整理期</w:t>
      </w:r>
      <w:r>
        <w:rPr>
          <w:rFonts w:hint="eastAsia" w:ascii="仿宋_GB2312" w:hAnsi="仿宋" w:eastAsia="仿宋_GB2312" w:cs="Arial"/>
          <w:sz w:val="32"/>
          <w:szCs w:val="32"/>
        </w:rPr>
        <w:t>首日</w:t>
      </w:r>
      <w:r>
        <w:rPr>
          <w:rFonts w:ascii="仿宋_GB2312" w:hAnsi="仿宋" w:eastAsia="仿宋_GB2312" w:cs="Arial"/>
          <w:sz w:val="32"/>
          <w:szCs w:val="32"/>
        </w:rPr>
        <w:t>，</w:t>
      </w:r>
      <w:r>
        <w:rPr>
          <w:rFonts w:hint="eastAsia" w:ascii="仿宋_GB2312" w:hAnsi="仿宋" w:eastAsia="仿宋_GB2312" w:cs="Arial"/>
          <w:sz w:val="32"/>
          <w:szCs w:val="32"/>
        </w:rPr>
        <w:t>不设价格涨跌幅限制。</w:t>
      </w:r>
    </w:p>
    <w:p>
      <w:pPr>
        <w:pStyle w:val="34"/>
        <w:numPr>
          <w:ilvl w:val="0"/>
          <w:numId w:val="52"/>
        </w:numPr>
        <w:tabs>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上市公司有限售条件股份的限售期限在退市整理期间连续计算。限售期限未届满的，相关股份在退市整理期内不得转让。</w:t>
      </w:r>
    </w:p>
    <w:p>
      <w:pPr>
        <w:pStyle w:val="34"/>
        <w:numPr>
          <w:ilvl w:val="0"/>
          <w:numId w:val="52"/>
        </w:numPr>
        <w:tabs>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上市公司股票进入退市整理期的，公司及相关信息披露义务人仍应当遵守法律法规、本规则及本所有关规定，履行信息披露及相关义务。</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上市公司未按本规则的规定履行相关义务的，本所将依据本规则的规定对有关责任人予以惩戒。</w:t>
      </w:r>
    </w:p>
    <w:p>
      <w:pPr>
        <w:pStyle w:val="34"/>
        <w:numPr>
          <w:ilvl w:val="0"/>
          <w:numId w:val="52"/>
        </w:numPr>
        <w:tabs>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上市公司应当在股票终止上市公告中，同时披露其股票进入退市整理期交易相关情况。</w:t>
      </w:r>
    </w:p>
    <w:p>
      <w:pPr>
        <w:pStyle w:val="34"/>
        <w:numPr>
          <w:ilvl w:val="0"/>
          <w:numId w:val="52"/>
        </w:numPr>
        <w:tabs>
          <w:tab w:val="left" w:pos="1560"/>
        </w:tabs>
        <w:snapToGrid w:val="0"/>
        <w:spacing w:line="560" w:lineRule="exact"/>
        <w:ind w:left="0" w:firstLine="640"/>
        <w:rPr>
          <w:rFonts w:ascii="仿宋_GB2312" w:hAnsi="黑体"/>
          <w:sz w:val="32"/>
          <w:szCs w:val="32"/>
        </w:rPr>
      </w:pPr>
      <w:r>
        <w:rPr>
          <w:rFonts w:ascii="仿宋_GB2312" w:hAnsi="黑体"/>
          <w:sz w:val="32"/>
          <w:szCs w:val="32"/>
        </w:rPr>
        <w:t xml:space="preserve"> </w:t>
      </w:r>
      <w:r>
        <w:rPr>
          <w:rFonts w:hint="eastAsia" w:ascii="仿宋_GB2312" w:hAnsi="黑体"/>
          <w:sz w:val="32"/>
          <w:szCs w:val="32"/>
        </w:rPr>
        <w:t>上市公司应当于退市整理期交易</w:t>
      </w:r>
      <w:r>
        <w:rPr>
          <w:rFonts w:ascii="仿宋_GB2312" w:hAnsi="黑体"/>
          <w:sz w:val="32"/>
          <w:szCs w:val="32"/>
        </w:rPr>
        <w:t>首日</w:t>
      </w:r>
      <w:r>
        <w:rPr>
          <w:rFonts w:hint="eastAsia" w:ascii="仿宋_GB2312" w:hAnsi="黑体"/>
          <w:sz w:val="32"/>
          <w:szCs w:val="32"/>
        </w:rPr>
        <w:t>，发布公司股票已被本所作出终止上市决定的风险提示公告，说明公司股票进入退市整理期的起始日和终止日等事项。</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上市公司应当在退市整理期前10个交易日内，每5个交易日发布一次股票将被终止上市的风险提示公告，在最后5个交易日内每日发布一次股票将被终止上市的风险提示公告。</w:t>
      </w:r>
    </w:p>
    <w:p>
      <w:pPr>
        <w:pStyle w:val="34"/>
        <w:numPr>
          <w:ilvl w:val="0"/>
          <w:numId w:val="52"/>
        </w:numPr>
        <w:tabs>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退市整理股票在一段时期内偏离同期可比指数涨跌幅较大，且期间上市公司未有重大事项公告的，本所可以要求上市公司进行停牌核查。上市公司应当对公司信息披露的情况和相关市场传言等进行核查，并及时予以公告。</w:t>
      </w:r>
    </w:p>
    <w:p>
      <w:pPr>
        <w:pStyle w:val="34"/>
        <w:numPr>
          <w:ilvl w:val="0"/>
          <w:numId w:val="52"/>
        </w:numPr>
        <w:tabs>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上市公司应当在其股票的退市整理期届满当日再次发布终止上市公告，对公司股票进入</w:t>
      </w:r>
      <w:r>
        <w:rPr>
          <w:rFonts w:ascii="仿宋_GB2312" w:hAnsi="黑体"/>
          <w:sz w:val="32"/>
          <w:szCs w:val="32"/>
        </w:rPr>
        <w:t>全国中小企业股份转让系统</w:t>
      </w:r>
      <w:r>
        <w:rPr>
          <w:rFonts w:hint="eastAsia" w:ascii="仿宋_GB2312" w:hAnsi="黑体"/>
          <w:sz w:val="32"/>
          <w:szCs w:val="32"/>
        </w:rPr>
        <w:t>等</w:t>
      </w:r>
      <w:r>
        <w:rPr>
          <w:rFonts w:ascii="仿宋_GB2312" w:hAnsi="黑体"/>
          <w:sz w:val="32"/>
          <w:szCs w:val="32"/>
        </w:rPr>
        <w:t>证券交易场所</w:t>
      </w:r>
      <w:r>
        <w:rPr>
          <w:rFonts w:hint="eastAsia" w:ascii="仿宋_GB2312" w:hAnsi="黑体"/>
          <w:sz w:val="32"/>
          <w:szCs w:val="32"/>
        </w:rPr>
        <w:t>的具体事宜，包括拟进入的市场名称、进入日期、股份重新确认、登记、托管等股票终止上市后续安排作出说明。</w:t>
      </w:r>
    </w:p>
    <w:p>
      <w:pPr>
        <w:pStyle w:val="34"/>
        <w:numPr>
          <w:ilvl w:val="0"/>
          <w:numId w:val="52"/>
        </w:numPr>
        <w:tabs>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上市公司在退市整理期间对外发布公告时，应当在公告的“重要提示”中特别说明已经交易的时间、剩余交易日及交易期满公司股票将被终止上市，并提示相关交易风险。</w:t>
      </w:r>
    </w:p>
    <w:p>
      <w:pPr>
        <w:pStyle w:val="34"/>
        <w:numPr>
          <w:ilvl w:val="0"/>
          <w:numId w:val="52"/>
        </w:numPr>
        <w:tabs>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上市公司股票进入退市整理期的，公司在退市整理期间不得筹划或者实施重大资产重组事项。</w:t>
      </w:r>
    </w:p>
    <w:p>
      <w:pPr>
        <w:pStyle w:val="34"/>
        <w:numPr>
          <w:ilvl w:val="0"/>
          <w:numId w:val="52"/>
        </w:numPr>
        <w:tabs>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退市整理期届满后5个交易日内，本所对公司股票予以摘牌，公司股票终止上市，并转入</w:t>
      </w:r>
      <w:r>
        <w:rPr>
          <w:rFonts w:ascii="仿宋_GB2312" w:hAnsi="黑体"/>
          <w:sz w:val="32"/>
          <w:szCs w:val="32"/>
        </w:rPr>
        <w:t>全国中小企业股份转让系统</w:t>
      </w:r>
      <w:r>
        <w:rPr>
          <w:rFonts w:hint="eastAsia" w:ascii="仿宋_GB2312" w:hAnsi="黑体"/>
          <w:sz w:val="32"/>
          <w:szCs w:val="32"/>
        </w:rPr>
        <w:t>等</w:t>
      </w:r>
      <w:r>
        <w:rPr>
          <w:rFonts w:ascii="仿宋_GB2312" w:hAnsi="黑体"/>
          <w:sz w:val="32"/>
          <w:szCs w:val="32"/>
        </w:rPr>
        <w:t>证券交易场所</w:t>
      </w:r>
      <w:r>
        <w:rPr>
          <w:rFonts w:hint="eastAsia" w:ascii="仿宋_GB2312" w:hAnsi="黑体"/>
          <w:sz w:val="32"/>
          <w:szCs w:val="32"/>
        </w:rPr>
        <w:t>转让。</w:t>
      </w:r>
    </w:p>
    <w:p>
      <w:pPr>
        <w:pStyle w:val="34"/>
        <w:numPr>
          <w:ilvl w:val="0"/>
          <w:numId w:val="52"/>
        </w:numPr>
        <w:tabs>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上市公司应当在本所作出终止其股票上市决定后，立即安排股票转入</w:t>
      </w:r>
      <w:r>
        <w:rPr>
          <w:rFonts w:ascii="仿宋_GB2312" w:hAnsi="黑体"/>
          <w:sz w:val="32"/>
          <w:szCs w:val="32"/>
        </w:rPr>
        <w:t>全国中小企业股份转让系统</w:t>
      </w:r>
      <w:r>
        <w:rPr>
          <w:rFonts w:hint="eastAsia" w:ascii="仿宋_GB2312" w:hAnsi="黑体"/>
          <w:sz w:val="32"/>
          <w:szCs w:val="32"/>
        </w:rPr>
        <w:t>等</w:t>
      </w:r>
      <w:r>
        <w:rPr>
          <w:rFonts w:ascii="仿宋_GB2312" w:hAnsi="黑体"/>
          <w:sz w:val="32"/>
          <w:szCs w:val="32"/>
        </w:rPr>
        <w:t>证券交易场所</w:t>
      </w:r>
      <w:r>
        <w:rPr>
          <w:rFonts w:hint="eastAsia" w:ascii="仿宋_GB2312" w:hAnsi="黑体"/>
          <w:sz w:val="32"/>
          <w:szCs w:val="32"/>
        </w:rPr>
        <w:t>转让相关事宜，保证公司股票在摘牌之日起45个交易日内可以转让。</w:t>
      </w:r>
    </w:p>
    <w:p>
      <w:pPr>
        <w:tabs>
          <w:tab w:val="left" w:pos="1560"/>
        </w:tabs>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上市公司将其股票转入</w:t>
      </w:r>
      <w:r>
        <w:rPr>
          <w:rFonts w:ascii="仿宋_GB2312" w:hAnsi="黑体" w:eastAsia="仿宋_GB2312"/>
          <w:sz w:val="32"/>
          <w:szCs w:val="32"/>
        </w:rPr>
        <w:t>全国中小企业股份转让系统</w:t>
      </w:r>
      <w:r>
        <w:rPr>
          <w:rFonts w:hint="eastAsia" w:ascii="仿宋_GB2312" w:hAnsi="黑体" w:eastAsia="仿宋_GB2312"/>
          <w:sz w:val="32"/>
          <w:szCs w:val="32"/>
        </w:rPr>
        <w:t>等</w:t>
      </w:r>
      <w:r>
        <w:rPr>
          <w:rFonts w:ascii="仿宋_GB2312" w:hAnsi="黑体" w:eastAsia="仿宋_GB2312"/>
          <w:sz w:val="32"/>
          <w:szCs w:val="32"/>
        </w:rPr>
        <w:t>证券交易场所</w:t>
      </w:r>
      <w:r>
        <w:rPr>
          <w:rFonts w:hint="eastAsia" w:ascii="仿宋_GB2312" w:hAnsi="黑体" w:eastAsia="仿宋_GB2312"/>
          <w:sz w:val="32"/>
          <w:szCs w:val="32"/>
        </w:rPr>
        <w:t>转让，应当聘请具有主办券商业务资格的证券公司（以下简称主办券商）并与其签订相关协议。公司未聘请或无主办券商接受其聘请的，本所在作出终止其股票上市的决定后，可以为其协调确定主办券商，通知公司和主办券商，并于2个交易日内就上述事项披露相关公告（公司不再具备法人资格的情形除外）。</w:t>
      </w:r>
    </w:p>
    <w:p>
      <w:pPr>
        <w:pStyle w:val="36"/>
      </w:pPr>
      <w:bookmarkStart w:id="1021" w:name="_Toc16422"/>
      <w:r>
        <w:rPr>
          <w:rFonts w:hint="eastAsia"/>
        </w:rPr>
        <w:t>第八节  主动终止上市</w:t>
      </w:r>
      <w:bookmarkEnd w:id="1021"/>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上市公司出现下列情形之一的，可以向本所申请主动终止上市：</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（一）上市公司股东大会决议主动撤回其股票在本所的交易，并决定不再在本所交易；</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（二）上市公司股东大会决议主动撤回其股票在本所的交易，并转而申请在其他交易场所交易或转让；</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（三）上市公司向所有股东发出回购全部股份或部分股份的要约，导致公司股本总额、股权分布等发生变化不再具备上市条件；</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（四）上市公司股东向所有其他股东发出收购全部股份或部分股份的要约，导致公司股本总额、股权分布等发生变化不再具备上市条件；</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（五）除上市公司股东外的其他收购人向所有股东发出收购全部股份或部分股份的要约，导致公司股本总额、股权分布等发生变化不再具备上市条件；</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（六）上市公司因新设合并或者吸收合并，不再具有独立法人资格并被注销；</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（七）上市公司股东大会决议公司解散；</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（八）中国证监会和本所认可的其他主动终止上市情形。</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前条第一项、第二项规定的股东大会决议事项，除须经出席会议的全体股东所持有效表决权的三分之二以上通过外，还须经出席会议的除下列股东以外的其他股东所持有效表决权的三分之二以上通过：</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（一）上市公司的董事、监事、高级管理人员；</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（二）单独或者合计持有上市公司5%以上股份的股东。</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应当在第12.8.1条第一项、第二项规定的股东大会召开通知发布之前，充分披露主动终止上市方案、退市原因及退市后的发展战略，包括并购重组安排、经营发展计划、为异议股东提供现金选择权等保护措施的专项说明等。</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上市公司应当聘请财务顾问和律师事务所为主动终止上市提供专业服务，发表专业意见并与股东大会召开通知一并公告。</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股东大会对主动终止上市事项进行审议后，上市公司应当及时披露股东大会决议公告，说明议案的审议及通过情况。</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因第12.8.1条第三项至第七项规定的回购、收购、公司合并以及自愿解散等情形引发主动终止上市的，应当遵守《公司法》《证券法》《上市公司收购管理办法》《重组办法》等有关规定及本所相关业务规则，严格履行决策、实施程序和信息披露义务，并及时向本所申请公司股票停牌或复牌。</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上市公司以自愿解散形式申请主动终止上市的，除遵守法律法规等有关规定外，还应遵守第12.8.2条和第12.8.3条的规定。</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上市公司因收购人履行要约收购义务，或收购人以终止公司上市地位为目的而发出全面要约的，要约收购期满至要约收购结果公告前，公司股票应当停牌。</w:t>
      </w:r>
    </w:p>
    <w:p>
      <w:pPr>
        <w:tabs>
          <w:tab w:val="left" w:pos="1560"/>
        </w:tabs>
        <w:snapToGrid w:val="0"/>
        <w:spacing w:line="560" w:lineRule="exact"/>
        <w:ind w:firstLine="640"/>
        <w:rPr>
          <w:rFonts w:ascii="仿宋_GB2312" w:hAnsi="黑体" w:eastAsia="仿宋_GB2312"/>
          <w:sz w:val="32"/>
          <w:szCs w:val="32"/>
        </w:rPr>
      </w:pPr>
      <w:r>
        <w:rPr>
          <w:rFonts w:hint="eastAsia" w:ascii="仿宋_GB2312" w:hAnsi="黑体" w:eastAsia="仿宋_GB2312"/>
          <w:sz w:val="32"/>
          <w:szCs w:val="32"/>
        </w:rPr>
        <w:t>根据收购结果，被收购上市公司股权分布不具备上市条件，上市公司应当按照下列情形分别处理：</w:t>
      </w:r>
    </w:p>
    <w:p>
      <w:pPr>
        <w:tabs>
          <w:tab w:val="left" w:pos="1560"/>
        </w:tabs>
        <w:snapToGrid w:val="0"/>
        <w:spacing w:line="560" w:lineRule="exact"/>
        <w:ind w:firstLine="640"/>
        <w:rPr>
          <w:rFonts w:ascii="仿宋_GB2312" w:hAnsi="黑体" w:eastAsia="仿宋_GB2312"/>
          <w:sz w:val="32"/>
          <w:szCs w:val="32"/>
        </w:rPr>
      </w:pPr>
      <w:r>
        <w:rPr>
          <w:rFonts w:hint="eastAsia" w:ascii="仿宋_GB2312" w:hAnsi="黑体" w:eastAsia="仿宋_GB2312"/>
          <w:sz w:val="32"/>
          <w:szCs w:val="32"/>
        </w:rPr>
        <w:t>（一）收购人以终止上市公司上市地位为目的的，按照第12.8.1条第四项或者第五项情形相应的退市程序执行，公司股票应当于要约结果公告日继续停牌，直至本所终止其股票上市；</w:t>
      </w:r>
    </w:p>
    <w:p>
      <w:pPr>
        <w:tabs>
          <w:tab w:val="left" w:pos="1560"/>
        </w:tabs>
        <w:snapToGrid w:val="0"/>
        <w:spacing w:line="560" w:lineRule="exact"/>
        <w:ind w:firstLine="640"/>
        <w:rPr>
          <w:rFonts w:ascii="仿宋_GB2312" w:hAnsi="黑体" w:eastAsia="仿宋_GB2312"/>
          <w:sz w:val="32"/>
          <w:szCs w:val="32"/>
        </w:rPr>
      </w:pPr>
      <w:r>
        <w:rPr>
          <w:rFonts w:hint="eastAsia" w:ascii="仿宋_GB2312" w:hAnsi="黑体" w:eastAsia="仿宋_GB2312"/>
          <w:sz w:val="32"/>
          <w:szCs w:val="32"/>
        </w:rPr>
        <w:t>（二）收购人不以终止上市公司上市地位为目的的，按照第12.5.1条第七项情形相应的程序执行。</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根据第12.8.1条第一项、第二项规定的情形，申请主动终止上市的，应当向本所申请其股票自股东大会股权登记日的次一交易日起停牌，并于股东大会作出终止上市决议后的15个交易日内，向本所提交主动终止上市申请。</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上市公司因第12.8.1条第三项至第七项规定的回购、收购、公司合并以及自愿解散等情形引发主动终止上市的，公司应当按照相关规定，及时向本所提交主动终止上市申请。</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公司应当在提出申请后，及时发布相关公告。</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上市公司向本所提出主动终止上市申请的，应当提交下列文件：</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（一）主动终止上市申请书；</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（二）董事会决议；</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（三）股东大会决议（如适用）；</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（四）主动终止上市的方案；</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（五）主动终止上市后去向安排的说明；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（六）为异议股东提供现金选择权等保护措施的专项说明；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（七）财务顾问出具的关于公司主动终止上市的专项意见；</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（八）律师出具的关于公司主动终止上市的专项法律意见；</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（九）本所要求的其他材料。</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上市公司主动终止上市事项未获股东大会审议通过的，公司应当及时向本所申请其股票自股东大会决议公告之日起复牌。</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本所在收到上市公司提交的主动终止上市申请文件之日后5个交易日内，作出是否受理的决定并通知公司。公司应当在收到决定后及时披露，并提示其股票是否存在可能终止上市的风险。</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在受理上市公司主动终止上市申请之日后的15个交易日内，作出是否同意其股票终止上市的决定。在此期间，本所要求公司提供补充材料的，公司提供补充材料期间不计入上述作出有关决定的期限，但累计不得超过30个交易日。</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因全面要约收购上市公司股份、实施以上市公司为对象的公司合并、上市公司全面回购股份，导致公司股票退出市场交易的，除另有规定外，本所在公司公告回购或者收购结果、完成合并交易之日起15个交易日内，作出是否终止其股票上市的决定。</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本所上市委员会对上市公司股票主动终止上市事宜进行审议，重点从保护投资者特别是中小投资者权益的角度，在审查上市公司决策程序合规性的基础上，作出独立的专业判断并形成审议意见。</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本所根据上市委员会的审议意见，作出是否终止股票上市的决定。</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本所在作出终止股票上市的决定之日起2个交易日内通知公司并发布相关公告。</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公司应当在收到本所关于终止其股票上市决定之日的次一交易日，披露股票终止上市公告。公司股票不进入退市整理期交易。</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上市公司主动终止上市的，本所在公司公告股票终止上市决定之日起5个交易日内对其予以摘牌，公司股票终止上市。</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上市公司主动终止上市的，公司及相关各方应当对公司股票退市后的转让或者交易、异议股东保护措施等作出妥善安排，保护投资者特别是中小投资者的合法权益。</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主动终止上市公司可以选择在全国中小企业股份转让系统等</w:t>
      </w:r>
      <w:r>
        <w:rPr>
          <w:rFonts w:ascii="仿宋_GB2312" w:hAnsi="黑体" w:eastAsia="仿宋_GB2312"/>
          <w:sz w:val="32"/>
          <w:szCs w:val="32"/>
        </w:rPr>
        <w:t>证券交易场所</w:t>
      </w:r>
      <w:r>
        <w:rPr>
          <w:rFonts w:hint="eastAsia" w:ascii="仿宋_GB2312" w:hAnsi="黑体" w:eastAsia="仿宋_GB2312"/>
          <w:sz w:val="32"/>
          <w:szCs w:val="32"/>
        </w:rPr>
        <w:t>转让其股票，或者依法作出其他安排。</w:t>
      </w:r>
    </w:p>
    <w:p>
      <w:pPr>
        <w:numPr>
          <w:ilvl w:val="2"/>
          <w:numId w:val="53"/>
        </w:numPr>
        <w:tabs>
          <w:tab w:val="left" w:pos="0"/>
          <w:tab w:val="left" w:pos="1560"/>
          <w:tab w:val="clear" w:pos="1418"/>
        </w:tabs>
        <w:snapToGrid w:val="0"/>
        <w:spacing w:line="560" w:lineRule="exact"/>
        <w:ind w:left="0" w:firstLine="640" w:firstLineChars="200"/>
        <w:rPr>
          <w:rFonts w:ascii="仿宋_GB2312" w:hAnsi="黑体" w:eastAsia="仿宋_GB2312"/>
          <w:sz w:val="32"/>
          <w:szCs w:val="32"/>
        </w:rPr>
      </w:pPr>
      <w:r>
        <w:rPr>
          <w:rFonts w:hint="eastAsia" w:ascii="仿宋_GB2312" w:hAnsi="黑体" w:eastAsia="仿宋_GB2312"/>
          <w:sz w:val="32"/>
          <w:szCs w:val="32"/>
        </w:rPr>
        <w:t>本所在作出同意或者不同意上市公司主动终止上市决定之日起15个交易日内，以及上市公司退出市场交易之日起15个交易日内，将上市公司主动终止上市的情况报告中国证监会。</w:t>
      </w:r>
    </w:p>
    <w:p>
      <w:pPr>
        <w:pStyle w:val="36"/>
        <w:numPr>
          <w:ilvl w:val="0"/>
          <w:numId w:val="54"/>
        </w:numPr>
      </w:pPr>
      <w:bookmarkStart w:id="1022" w:name="_Toc17956"/>
      <w:r>
        <w:rPr>
          <w:rFonts w:hint="eastAsia"/>
        </w:rPr>
        <w:t xml:space="preserve"> 其他风险警示</w:t>
      </w:r>
      <w:bookmarkEnd w:id="1022"/>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上市公司出现以下情形之一的，本所对其股票实施其他风险警示：</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一）公司被控股股东（无控股股东的，则为第一大股东）及其关联人非经营性占用资金，余额达到最近一期经审计净资产绝对值5%以上，或者金额超过1000万元，未能在1个月内完成清偿或整改；或者公司违反规定决策程序对外提供担保（担保对象为上市公司合并报表范围内子公司的除外），余额达到最近一期经审计净资产绝对值5%以上，或者金额超过1000万元，未能在1个月内完成清偿或整改；</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（二）董事会、股东大会无法正常召开会议并形成有效决议；</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（三）最近一个会计年度财务报告内部控制被出具无法表示意见或否定意见的审计报告，或未按照规定披露财务报告内部控制审计报告；</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（四）公司生产经营活动受到严重影响且预计在3个月内不能恢复正常；</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（五）主要银行账户被冻结；</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（六）最近连续3个会计年度扣除非经常性损益前后净利润孰低者均为负值，且最近一个会计年度财务会计报告的审计报告显示公司持续经营能力存在不确定性；</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七）根据中国证监会行政处罚事先告知书载明的事实，公司披露的年度报告财务指标存在虚假记载，但未触及本规则第12.2.2条第一款规定情形，前述财务指标包括营业收入、利润总额、净利润、资产负债表中的资产或者负债科目；</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八）最近一个会计年度净利润为正值且母公司报表年度末未分配利润为正值的公司，其最近三个会计年度累计现金分红总额低于最近三个会计年度年均净利润的30%，且最近三个会计年度累计现金分红金额低于3000万元，但最近三个会计</w:t>
      </w:r>
      <w:r>
        <w:rPr>
          <w:rFonts w:ascii="仿宋_GB2312" w:hAnsi="黑体"/>
          <w:sz w:val="32"/>
          <w:szCs w:val="32"/>
        </w:rPr>
        <w:t>年度</w:t>
      </w:r>
      <w:r>
        <w:rPr>
          <w:rFonts w:hint="eastAsia" w:ascii="仿宋_GB2312" w:hAnsi="黑体"/>
          <w:sz w:val="32"/>
          <w:szCs w:val="32"/>
        </w:rPr>
        <w:t>累计研发投入占累计营业收入比例在15%以上或最近三个会计</w:t>
      </w:r>
      <w:r>
        <w:rPr>
          <w:rFonts w:ascii="仿宋_GB2312" w:hAnsi="黑体"/>
          <w:sz w:val="32"/>
          <w:szCs w:val="32"/>
        </w:rPr>
        <w:t>年度</w:t>
      </w:r>
      <w:r>
        <w:rPr>
          <w:rFonts w:hint="eastAsia" w:ascii="仿宋_GB2312" w:hAnsi="黑体"/>
          <w:sz w:val="32"/>
          <w:szCs w:val="32"/>
        </w:rPr>
        <w:t>累计研发投入金额在3亿元以上的除外；</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（九）公司存在严重失信，或持续经营能力明显存在重大不确定性等投资者难以判断公司前景，导致投资者权益可能受到损害的其他情形。</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公司上市不满三个完整会计年度的，前款第八项所称最近三个会计年度以公司上市后的首个完整会计年度作为首个起算年度。</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公司将最近一个会计年度母公司报表未分配利润全部分配后，仍出现第一款第八项规定情形的，本所不对其公司股票实施其他风险警示。</w:t>
      </w:r>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上市公司出现第12.9.1条第一款第一项至第七项规定情形之一的，应当在事实发生之日及时向本所报告，提交董事会的书面意见，同时进行公告并申请其股票于事实发生次一交易日起开始停牌。本所在收到公司报告之日后5个交易日内，根据实际情况，对公司股票实施其他风险警示。</w:t>
      </w:r>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上市公司董事会审议通过的年度利润分配方案实施后，公司可能出现第12.9.1条第一款第八项规定情形的，应当在年度利润分配方案披露的同时提示存在被实施其他风险警示的风险。公司股东大会审议通过该利润分配方案后，公司应当及时向本所报告，提交董事会的书面意见，同时进行公告并申请其股票于次一交易日起开始停牌。本所在收到公司报告之日后5个交易日内，根据实际情况，对公司股票实施其他风险警示。</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公司股东大会如未及时审议通过有效的年度利润分配方案，导致公司直至当年6月30日仍触及第12.9.1条第一款第八项规定情形的，公司应当及时向本所报告，提交董事会的书面意见，同时进行公告并申请其股票于次一交易日起开始停牌。本所在收到公司报告之日后5个交易日内，根据实际情况，对公司股票实施其他风险警示。公司应当根据股东大会审议利润分配的结果情况，及时评估是否存在可能被实施其他风险警示的风险，并及时披露。</w:t>
      </w:r>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上市公司股票因第12.9.1条第一款第一项规定情形被实施其他风险警示的，在被实施其他风险警示期间，公司应当至少每月披露1次提示性公告，披露资金占用或违规担保的解决进展情况。</w:t>
      </w:r>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 xml:space="preserve"> 上市公司股票因第12.9.1条第一款第二项至第五项规定情形被实施其他风险警示的，在被实施其他风险警示期间，公司应当至少每月披露1次提示性公告，分阶段披露涉及事项的解决进展情况。</w:t>
      </w:r>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上市公司股票因第12.9.1条第一款第一项规定情形被实施其他风险警示后，相关情形已完全消除的，公司应当及时公告，并可以向本所申请撤销对其股票实施的其他风险警示。</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公司关联人资金占用情形已完全消除，向本所申请撤销对其股票实施的其他风险警示的，应当提交会计师事务所出具的专项核查意见等文件。</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公司违规担保情形已完全消除，向本所申请撤销对其股票实施的其他风险警示的，应当提交律师事务所出具的法律意见书。</w:t>
      </w:r>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上市公司股票因第12.9.1条第一款第二项至第六项、第九项规定情形被实施其他风险警示后，相关情形已完全消除的，公司应当及时公告，并可以向本所申请撤销对其股票实施的其他风险警示。</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公司股票因第12.9.1条第一款第三项规定情形被实施其他风险警示后，公司内部控制缺陷整改完成，内控有效运行，向本所申请撤销对其股票实施的其他风险警示的，应当披露会计师事务所对其最近一个会计年度财务报告出具的标准无保留意见的内部控制审计报告。公司进行破产重整、重组上市或者重大资产重组，按照相关规定无法披露财务报告内部控制审计报告的，公司股票继续实施其他风险警示，直至披露下一个会计年度财务报告内部控制审计报告后，按照本节相关规定执行。</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公司股票因第12.9.1条第一款第六项规定情形被实施其他风险警示后，公司最近一年经审计的财务报告显示，其扣除非经常性损益前后的净利润孰低者为正值或者持续经营能力不确定性已消除，向本所申请撤销对其股票实施的其他风险警示的，应当提交会计师事务所出具的最近一年审计报告等文件。</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公司股票因第12.9.1条第一款第八项规定情形被实施其他风险警示后，经股东大会审议通过的年度利润分配方案表明第12.9.1条第一款第八项规定的情形已消除，公司最近一个会计年度净利润为正值，且经股东大会审议通过的年度利润分配方案显示当年现金分红金额不低于当年净利润30%的，公司应当及时公告，并可以向本所申请撤销对其股票实施的其他风险警示。</w:t>
      </w:r>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上市公司股票因第12.9.1条第一款第七项规定情形被实施其他风险警示后，同时符合下列条件的，可以向本所申请撤销对其股票实施的其他风险警示并披露：</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（一）中国证监会作出行政处罚决定书已满12个月；</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（二）公司已就行政处罚决定所涉事项对相应年度财务会计报告进行追溯重述。</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公司向本所申请撤销对其股票实施的其他风险警示时，如已被提起证券虚假陈述诉讼，公司应当就投资者索赔事项充分计提预计负债，及时披露相关事项进展并提示风险。</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公司在股票被实施其他风险警示期间，收到中国证监会行政处罚决定书或者结案通知书，显示未触及第12.9.1条第一款第七项规定情形，应当及时公告，并可以向本所申请撤销对其股票实施的其他风险警示。</w:t>
      </w:r>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上市公司向本所申请撤销对其股票实施的其他风险警示，应当同时作出公告。本所于收到公司申请后15个交易日内，根据实际情况，决定是否撤销对其股票实施的其他风险警示。</w:t>
      </w:r>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本所决定撤销其他风险警示的，上市公司应当按照本所要求在撤销其他风险警示的前一个交易日作出公告。</w:t>
      </w:r>
    </w:p>
    <w:p>
      <w:pPr>
        <w:pStyle w:val="34"/>
        <w:tabs>
          <w:tab w:val="left" w:pos="1134"/>
          <w:tab w:val="left" w:pos="1560"/>
        </w:tabs>
        <w:snapToGrid w:val="0"/>
        <w:spacing w:line="560" w:lineRule="exact"/>
        <w:ind w:firstLine="640"/>
        <w:rPr>
          <w:rFonts w:ascii="仿宋_GB2312" w:hAnsi="黑体"/>
          <w:sz w:val="32"/>
          <w:szCs w:val="32"/>
        </w:rPr>
      </w:pPr>
      <w:r>
        <w:rPr>
          <w:rFonts w:hint="eastAsia" w:ascii="仿宋_GB2312" w:hAnsi="黑体"/>
          <w:sz w:val="32"/>
          <w:szCs w:val="32"/>
        </w:rPr>
        <w:t>公司股票在公告披露日停牌1天。自复牌之日起，本所撤销对公司股票实施的其他风险警示。</w:t>
      </w:r>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本所决定不予撤销其他风险警示的，上市公司应当在收到本所有关书面通知后的次一交易日作出公告。公司未按规定公告的，本所可以向市场公告。</w:t>
      </w:r>
    </w:p>
    <w:p>
      <w:pPr>
        <w:pStyle w:val="34"/>
        <w:numPr>
          <w:ilvl w:val="0"/>
          <w:numId w:val="55"/>
        </w:numPr>
        <w:tabs>
          <w:tab w:val="left" w:pos="1134"/>
          <w:tab w:val="left" w:pos="1560"/>
        </w:tabs>
        <w:snapToGrid w:val="0"/>
        <w:spacing w:line="560" w:lineRule="exact"/>
        <w:ind w:left="0" w:firstLine="640"/>
        <w:rPr>
          <w:rFonts w:ascii="仿宋_GB2312" w:hAnsi="黑体"/>
          <w:sz w:val="32"/>
          <w:szCs w:val="32"/>
        </w:rPr>
      </w:pPr>
      <w:r>
        <w:rPr>
          <w:rFonts w:hint="eastAsia" w:ascii="仿宋_GB2312" w:hAnsi="黑体"/>
          <w:sz w:val="32"/>
          <w:szCs w:val="32"/>
        </w:rPr>
        <w:t>上市公司以现金为对价，采用要约方式、集中竞价方式回购股份并注销的，纳入本节所称现金分红金额。</w:t>
      </w:r>
    </w:p>
    <w:p>
      <w:pPr>
        <w:pStyle w:val="36"/>
      </w:pPr>
      <w:bookmarkStart w:id="1023" w:name="_Toc28953"/>
      <w:r>
        <w:rPr>
          <w:rFonts w:hint="eastAsia"/>
        </w:rPr>
        <w:t>第十节  再次</w:t>
      </w:r>
      <w:r>
        <w:t>上市</w:t>
      </w:r>
      <w:bookmarkEnd w:id="1023"/>
    </w:p>
    <w:p>
      <w:pPr>
        <w:pStyle w:val="34"/>
        <w:numPr>
          <w:ilvl w:val="0"/>
          <w:numId w:val="56"/>
        </w:numPr>
        <w:tabs>
          <w:tab w:val="left" w:pos="1560"/>
        </w:tabs>
        <w:snapToGrid w:val="0"/>
        <w:spacing w:line="560" w:lineRule="exact"/>
        <w:ind w:left="-10" w:firstLine="640" w:firstLineChars="0"/>
        <w:rPr>
          <w:rFonts w:ascii="仿宋_GB2312" w:hAnsi="黑体"/>
          <w:sz w:val="32"/>
          <w:szCs w:val="32"/>
        </w:rPr>
      </w:pPr>
      <w:r>
        <w:rPr>
          <w:rFonts w:hint="eastAsia" w:ascii="仿宋_GB2312" w:hAnsi="黑体"/>
          <w:sz w:val="32"/>
          <w:szCs w:val="32"/>
        </w:rPr>
        <w:t>本所上市公司的股票终止上市后，符合本所规定条件的，可以向本所申请再次上市。</w:t>
      </w:r>
    </w:p>
    <w:p>
      <w:pPr>
        <w:pStyle w:val="34"/>
        <w:numPr>
          <w:ilvl w:val="0"/>
          <w:numId w:val="56"/>
        </w:numPr>
        <w:tabs>
          <w:tab w:val="left" w:pos="1560"/>
        </w:tabs>
        <w:snapToGrid w:val="0"/>
        <w:spacing w:line="560" w:lineRule="exact"/>
        <w:ind w:left="-10" w:firstLine="640" w:firstLineChars="0"/>
        <w:rPr>
          <w:rFonts w:ascii="仿宋_GB2312" w:hAnsi="黑体"/>
          <w:sz w:val="32"/>
          <w:szCs w:val="32"/>
        </w:rPr>
      </w:pPr>
      <w:r>
        <w:rPr>
          <w:rFonts w:hint="eastAsia" w:ascii="仿宋_GB2312" w:hAnsi="黑体"/>
          <w:sz w:val="32"/>
          <w:szCs w:val="32"/>
        </w:rPr>
        <w:t>上市公司因本规则第12.2.2条第一项、第二项规定的欺诈发行情形，其股票被终止上市的，本所不再受理其再次上市申请。</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上市公司因本规则第12.2.2条第三项至第八项和第12.2.3条规定的重大违法等情形，其股票被终止上市的，自其股票进入全国中小企业股份转让系统等证券交易场所转让之日起的5个完整会计年度内，本所不再受理其再次上市申请。公司提交再次上市申请的，应当同时符合下列条件：</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（一）已全面纠正重大违法行为并符合下列要求：</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1.公司已就重大信息披露违法行为所涉事项披露补充或更正公告；</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2.对重大违法行为的责任追究已处理完毕；</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3.公司已就重大违法行为所涉事项补充履行相关决策程序；</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4.公司控股股东、实际控制人等相关责任主体对公司因重大违法行为发生的损失已作出补偿；</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5.重大违法行为可能引发的与公司相关的风险因素已消除。</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（二）已撤换下列与重大违法行为有关的责任人员：</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1.被人民法院判决有罪的有关人员；</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2.被相关行政机关行政处罚的有关人员；</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3.被相关行政机关依法移送公安机关立案调查的有关人员；</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4.中国证监会、本所认定的与重大违法行为有关的其他责任人员。</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（三）已对相关民事赔偿承担做出妥善安排并符合下列要求：</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1.相关赔偿事项已由人民法院作出判决的，该判决已执行完毕；</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2.相关赔偿事项未由人民法院作出判决，但已达成和解的，该和解协议已执行完毕；</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3.相关赔偿事项未由人民法院作出判决，且也未达成和解的，公司及相关责任主体已按预计最高索赔金额计提赔偿基金，并将足额资金划入专项账户，且公司的控股股东和实际控制人已承诺：若赔偿基金不足赔付，其将予以补足。</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（四）不存在本规则规定的终止上市情形。</w:t>
      </w:r>
    </w:p>
    <w:p>
      <w:pPr>
        <w:pStyle w:val="34"/>
        <w:tabs>
          <w:tab w:val="left" w:pos="1560"/>
        </w:tabs>
        <w:snapToGrid w:val="0"/>
        <w:spacing w:line="560" w:lineRule="exact"/>
        <w:ind w:firstLine="640"/>
        <w:rPr>
          <w:rFonts w:ascii="仿宋_GB2312" w:hAnsi="黑体"/>
          <w:sz w:val="32"/>
          <w:szCs w:val="32"/>
        </w:rPr>
      </w:pPr>
      <w:r>
        <w:rPr>
          <w:rFonts w:hint="eastAsia" w:ascii="仿宋_GB2312" w:hAnsi="黑体"/>
          <w:sz w:val="32"/>
          <w:szCs w:val="32"/>
        </w:rPr>
        <w:t>（五）公司聘请的再次上市保荐机构、律师事务所已对前述4项条件所述情况进行核查验证，并出具专项核查意见，明确认定公司已完全符合前述4项条件。</w:t>
      </w:r>
    </w:p>
    <w:p>
      <w:pPr>
        <w:pStyle w:val="34"/>
        <w:numPr>
          <w:ilvl w:val="0"/>
          <w:numId w:val="56"/>
        </w:numPr>
        <w:tabs>
          <w:tab w:val="left" w:pos="1560"/>
        </w:tabs>
        <w:snapToGrid w:val="0"/>
        <w:spacing w:line="560" w:lineRule="exact"/>
        <w:ind w:left="-10" w:firstLine="640" w:firstLineChars="0"/>
        <w:rPr>
          <w:rFonts w:ascii="仿宋_GB2312" w:hAnsi="黑体"/>
          <w:sz w:val="32"/>
          <w:szCs w:val="32"/>
        </w:rPr>
      </w:pPr>
      <w:r>
        <w:rPr>
          <w:rFonts w:hint="eastAsia" w:ascii="仿宋_GB2312" w:hAnsi="黑体"/>
          <w:sz w:val="32"/>
          <w:szCs w:val="32"/>
        </w:rPr>
        <w:t>上市公司股票被强制终止上市后，公司不配合退市相关工作，或者未按本规则的规定履行相关义务的，本所自其股票进入全国中小企业股份转让系统等证券交易场所转让之日起36个月内不受理其再次上市申请。</w:t>
      </w:r>
    </w:p>
    <w:p>
      <w:pPr>
        <w:pStyle w:val="34"/>
        <w:numPr>
          <w:ilvl w:val="0"/>
          <w:numId w:val="56"/>
        </w:numPr>
        <w:tabs>
          <w:tab w:val="left" w:pos="1560"/>
        </w:tabs>
        <w:snapToGrid w:val="0"/>
        <w:spacing w:line="560" w:lineRule="exact"/>
        <w:ind w:left="-10" w:firstLine="640" w:firstLineChars="0"/>
        <w:rPr>
          <w:rFonts w:ascii="仿宋_GB2312" w:hAnsi="黑体"/>
          <w:sz w:val="32"/>
          <w:szCs w:val="32"/>
        </w:rPr>
      </w:pPr>
      <w:r>
        <w:rPr>
          <w:rFonts w:hint="eastAsia" w:ascii="仿宋_GB2312" w:hAnsi="黑体"/>
          <w:sz w:val="32"/>
          <w:szCs w:val="32"/>
        </w:rPr>
        <w:t>上市公司主动退市的，可以随时向本所提出再次上市申请。</w:t>
      </w:r>
    </w:p>
    <w:p>
      <w:pPr>
        <w:pStyle w:val="34"/>
        <w:numPr>
          <w:ilvl w:val="0"/>
          <w:numId w:val="56"/>
        </w:numPr>
        <w:tabs>
          <w:tab w:val="left" w:pos="1560"/>
        </w:tabs>
        <w:snapToGrid w:val="0"/>
        <w:spacing w:line="560" w:lineRule="exact"/>
        <w:ind w:left="-10" w:firstLine="640" w:firstLineChars="0"/>
        <w:rPr>
          <w:rFonts w:ascii="仿宋_GB2312" w:hAnsi="黑体"/>
          <w:sz w:val="32"/>
          <w:szCs w:val="32"/>
        </w:rPr>
      </w:pPr>
      <w:r>
        <w:rPr>
          <w:rFonts w:hint="eastAsia" w:ascii="仿宋_GB2312" w:hAnsi="黑体"/>
          <w:sz w:val="32"/>
          <w:szCs w:val="32"/>
        </w:rPr>
        <w:t>退市公司申请再次上市，应当按照中国证监会、本所有关规定制作申请文件，依法由保荐机构保荐并向本所申报。本所审核部门负责审核退市公司再次上市申请。</w:t>
      </w:r>
    </w:p>
    <w:p>
      <w:pPr>
        <w:pStyle w:val="34"/>
        <w:numPr>
          <w:ilvl w:val="0"/>
          <w:numId w:val="56"/>
        </w:numPr>
        <w:tabs>
          <w:tab w:val="left" w:pos="1560"/>
        </w:tabs>
        <w:snapToGrid w:val="0"/>
        <w:spacing w:line="560" w:lineRule="exact"/>
        <w:ind w:left="-10" w:firstLine="640" w:firstLineChars="0"/>
        <w:rPr>
          <w:rFonts w:ascii="仿宋_GB2312" w:hAnsi="黑体"/>
          <w:sz w:val="32"/>
          <w:szCs w:val="32"/>
        </w:rPr>
      </w:pPr>
      <w:r>
        <w:rPr>
          <w:rFonts w:hint="eastAsia" w:ascii="仿宋_GB2312" w:hAnsi="黑体"/>
          <w:sz w:val="32"/>
          <w:szCs w:val="32"/>
        </w:rPr>
        <w:t>再次上市的其他事宜，由本所另行规定。</w:t>
      </w:r>
    </w:p>
    <w:p>
      <w:pPr>
        <w:tabs>
          <w:tab w:val="left" w:pos="1560"/>
        </w:tabs>
        <w:snapToGrid w:val="0"/>
        <w:spacing w:line="560" w:lineRule="exact"/>
        <w:rPr>
          <w:rFonts w:ascii="仿宋_GB2312" w:hAnsi="黑体" w:eastAsia="仿宋_GB2312"/>
          <w:sz w:val="32"/>
          <w:szCs w:val="32"/>
        </w:rPr>
      </w:pPr>
    </w:p>
    <w:p>
      <w:pPr>
        <w:pStyle w:val="38"/>
        <w:numPr>
          <w:ilvl w:val="0"/>
          <w:numId w:val="1"/>
        </w:numPr>
        <w:ind w:left="0" w:firstLine="643"/>
        <w:rPr>
          <w:b/>
        </w:rPr>
      </w:pPr>
      <w:bookmarkStart w:id="1024" w:name="_Toc17049"/>
      <w:r>
        <w:rPr>
          <w:rFonts w:hint="eastAsia"/>
          <w:b/>
        </w:rPr>
        <w:t>红筹企业和境内外事项的协调</w:t>
      </w:r>
      <w:bookmarkEnd w:id="1024"/>
    </w:p>
    <w:p>
      <w:pPr>
        <w:pStyle w:val="36"/>
        <w:numPr>
          <w:ilvl w:val="1"/>
          <w:numId w:val="1"/>
        </w:numPr>
        <w:ind w:left="0" w:firstLine="643"/>
      </w:pPr>
      <w:bookmarkStart w:id="1025" w:name="_Toc31599"/>
      <w:r>
        <w:rPr>
          <w:rFonts w:hint="eastAsia"/>
        </w:rPr>
        <w:t>红筹企业特别规定</w:t>
      </w:r>
      <w:bookmarkEnd w:id="1025"/>
    </w:p>
    <w:p>
      <w:pPr>
        <w:pStyle w:val="34"/>
        <w:numPr>
          <w:ilvl w:val="0"/>
          <w:numId w:val="57"/>
        </w:numPr>
        <w:spacing w:line="560" w:lineRule="exact"/>
        <w:ind w:left="0" w:firstLine="640"/>
        <w:rPr>
          <w:rFonts w:ascii="仿宋_GB2312" w:cs="仿宋_GB2312"/>
          <w:sz w:val="32"/>
          <w:szCs w:val="32"/>
          <w:lang w:val="zh-CN"/>
        </w:rPr>
      </w:pPr>
      <w:r>
        <w:rPr>
          <w:rFonts w:hint="eastAsia" w:ascii="仿宋_GB2312" w:cs="仿宋_GB2312"/>
          <w:sz w:val="32"/>
          <w:szCs w:val="32"/>
          <w:lang w:val="zh-CN"/>
        </w:rPr>
        <w:t>红筹企业申请发行股票或者存托凭证并在科创板上市的，适用中国证监会、本所关于发行上市审核注册程序的规定。</w:t>
      </w:r>
    </w:p>
    <w:p>
      <w:pPr>
        <w:pStyle w:val="34"/>
        <w:numPr>
          <w:ilvl w:val="0"/>
          <w:numId w:val="57"/>
        </w:numPr>
        <w:spacing w:line="560" w:lineRule="exact"/>
        <w:ind w:left="0" w:firstLine="640"/>
        <w:rPr>
          <w:rFonts w:ascii="仿宋_GB2312" w:cs="仿宋_GB2312"/>
          <w:sz w:val="32"/>
          <w:szCs w:val="32"/>
          <w:lang w:val="zh-CN"/>
        </w:rPr>
      </w:pPr>
      <w:r>
        <w:rPr>
          <w:rFonts w:hint="eastAsia" w:ascii="仿宋_GB2312" w:cs="仿宋_GB2312"/>
          <w:sz w:val="32"/>
          <w:szCs w:val="32"/>
          <w:lang w:val="zh-CN"/>
        </w:rPr>
        <w:t>红筹企业申请其在境内首次公开发行的股票上市的，应当根据《上海证券交易所科创板股票发行上市审核规则》的规定，取得本所出具的同意发行上市审核意见并</w:t>
      </w:r>
      <w:r>
        <w:rPr>
          <w:rFonts w:hint="eastAsia" w:ascii="仿宋_GB2312" w:hAnsi="宋体"/>
          <w:sz w:val="32"/>
          <w:szCs w:val="32"/>
        </w:rPr>
        <w:t>由中国证监会作出同意注册决定</w:t>
      </w:r>
      <w:r>
        <w:rPr>
          <w:rFonts w:hint="eastAsia" w:ascii="仿宋_GB2312" w:cs="仿宋_GB2312"/>
          <w:sz w:val="32"/>
          <w:szCs w:val="32"/>
          <w:lang w:val="zh-CN"/>
        </w:rPr>
        <w:t>。</w:t>
      </w:r>
    </w:p>
    <w:p>
      <w:pPr>
        <w:spacing w:line="56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红筹企业在境内发行存托凭证并上市的，还应当提交本次发行的存托凭证已经中国结算存管的证明文件、经签署的存托协议、托管协议文本以及托管人出具的存托凭证所对应基础证券的托管凭证等文件。</w:t>
      </w:r>
    </w:p>
    <w:p>
      <w:pPr>
        <w:spacing w:line="56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根据公司注册地公司法等法律法规和公司章程或者章程性文件（以下简称公司章程）规定，红筹企业无需就本次境内发行上市事宜提交股东大会审议的，其申请上市时可以不提交股东大会决议，但应当提交相关董事会决议。</w:t>
      </w:r>
    </w:p>
    <w:p>
      <w:pPr>
        <w:pStyle w:val="34"/>
        <w:numPr>
          <w:ilvl w:val="0"/>
          <w:numId w:val="57"/>
        </w:numPr>
        <w:spacing w:line="560" w:lineRule="exact"/>
        <w:ind w:left="0" w:firstLine="640"/>
        <w:rPr>
          <w:rFonts w:ascii="仿宋_GB2312" w:cs="仿宋_GB2312"/>
          <w:sz w:val="32"/>
          <w:szCs w:val="32"/>
          <w:lang w:val="zh-CN"/>
        </w:rPr>
      </w:pPr>
      <w:r>
        <w:rPr>
          <w:rFonts w:hint="eastAsia" w:ascii="仿宋_GB2312" w:hAnsi="Arial Unicode MS" w:cs="Arial Unicode MS"/>
          <w:sz w:val="32"/>
          <w:szCs w:val="32"/>
        </w:rPr>
        <w:t>红筹企业在境内发行股票或者存托凭证并在本所科创板上市，股权结构、公司治理、运行规范等事项适用境外注册地公司法等法律法规的，其投资者权益保护水平，包括资产收益、参与重大决策、剩余财产分配等权益，总体上应不低于境内法律法规规定的要求，并保障境内存托凭证持有人实际享有的权益与境外基础证券持有人的权益相当。</w:t>
      </w:r>
    </w:p>
    <w:p>
      <w:pPr>
        <w:pStyle w:val="34"/>
        <w:numPr>
          <w:ilvl w:val="0"/>
          <w:numId w:val="57"/>
        </w:numPr>
        <w:spacing w:line="560" w:lineRule="exact"/>
        <w:ind w:left="0" w:firstLine="640"/>
        <w:rPr>
          <w:rFonts w:ascii="仿宋_GB2312" w:hAnsi="Arial Unicode MS" w:cs="Arial Unicode MS"/>
          <w:sz w:val="32"/>
          <w:szCs w:val="32"/>
        </w:rPr>
      </w:pPr>
      <w:r>
        <w:rPr>
          <w:rFonts w:hint="eastAsia" w:ascii="仿宋_GB2312" w:hAnsi="Arial Unicode MS" w:cs="Arial Unicode MS"/>
          <w:sz w:val="32"/>
          <w:szCs w:val="32"/>
        </w:rPr>
        <w:t>红筹企业提交的上市申请文件和持续信息披露文件，应当使用中文。</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红筹企业和相关信息披露义务人应当按照中国证监会和本所规定，在中国证监会指定信息披露媒体和本所网站披露上市和持续信息披露文件。</w:t>
      </w:r>
    </w:p>
    <w:p>
      <w:pPr>
        <w:pStyle w:val="34"/>
        <w:numPr>
          <w:ilvl w:val="0"/>
          <w:numId w:val="57"/>
        </w:numPr>
        <w:spacing w:line="560" w:lineRule="exact"/>
        <w:ind w:left="0" w:firstLine="640"/>
        <w:rPr>
          <w:rFonts w:ascii="仿宋_GB2312" w:hAnsi="Arial Unicode MS" w:cs="Arial Unicode MS"/>
          <w:sz w:val="32"/>
          <w:szCs w:val="32"/>
        </w:rPr>
      </w:pPr>
      <w:r>
        <w:rPr>
          <w:rFonts w:hint="eastAsia" w:ascii="仿宋_GB2312" w:hAnsi="Arial Unicode MS" w:cs="Arial Unicode MS"/>
          <w:sz w:val="32"/>
          <w:szCs w:val="32"/>
        </w:rPr>
        <w:t>红筹企业应当在境内设立证券事务机构，并聘任信息披露境内代表，负责办理公司股票或者存托凭证上市期间的信息披露和监管联络事宜。信息披露境内代表应当具备境内上市公司董事会秘书的相应任职能力，熟悉境内信息披露规定和要求，并能够熟练使用中文。</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红筹企业应当建立与境内投资者、监管机构及本所的有效沟通渠道，按照规定保障境内投资者的合法权益，保持与境内监管机构及本所的畅通联系。</w:t>
      </w:r>
    </w:p>
    <w:p>
      <w:pPr>
        <w:pStyle w:val="34"/>
        <w:numPr>
          <w:ilvl w:val="0"/>
          <w:numId w:val="57"/>
        </w:numPr>
        <w:spacing w:line="560" w:lineRule="exact"/>
        <w:ind w:left="0" w:firstLine="640"/>
        <w:rPr>
          <w:rFonts w:ascii="仿宋_GB2312" w:cs="仿宋_GB2312"/>
          <w:sz w:val="32"/>
          <w:szCs w:val="32"/>
          <w:lang w:val="zh-CN"/>
        </w:rPr>
      </w:pPr>
      <w:r>
        <w:rPr>
          <w:rFonts w:hint="eastAsia" w:ascii="仿宋_GB2312" w:cs="仿宋_GB2312"/>
          <w:sz w:val="32"/>
          <w:szCs w:val="32"/>
          <w:lang w:val="zh-CN"/>
        </w:rPr>
        <w:t>红筹企业具有协议控制架构或者类似特殊安排的，应当充分、详细披露相关情况，特别是风险、公司治理等信息，以及依法落实保护投资者合法权益规定的各项措施。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红筹企业应当在年度报告中披露</w:t>
      </w:r>
      <w:r>
        <w:rPr>
          <w:rFonts w:hint="eastAsia" w:ascii="仿宋_GB2312" w:eastAsia="仿宋_GB2312" w:cs="仿宋_GB2312"/>
          <w:sz w:val="32"/>
          <w:szCs w:val="32"/>
          <w:lang w:val="zh-CN"/>
        </w:rPr>
        <w:t>协议控制架构或者类似特殊安排</w:t>
      </w:r>
      <w:r>
        <w:rPr>
          <w:rFonts w:hint="eastAsia" w:ascii="仿宋_GB2312" w:eastAsia="仿宋_GB2312"/>
          <w:sz w:val="32"/>
          <w:szCs w:val="32"/>
        </w:rPr>
        <w:t>在报告期内的实施和变化情况，以及该等安排下保护境内投资者合法权益有关措施的实施情况。</w:t>
      </w:r>
    </w:p>
    <w:p>
      <w:pPr>
        <w:spacing w:line="560" w:lineRule="exact"/>
        <w:ind w:firstLine="640" w:firstLineChars="200"/>
        <w:rPr>
          <w:rFonts w:ascii="仿宋_GB2312" w:hAnsi="Arial Unicode MS" w:eastAsia="仿宋_GB2312" w:cs="Arial Unicode MS"/>
          <w:sz w:val="32"/>
          <w:szCs w:val="32"/>
        </w:rPr>
      </w:pPr>
      <w:r>
        <w:rPr>
          <w:rFonts w:hint="eastAsia" w:ascii="仿宋_GB2312" w:hAnsi="仿宋" w:eastAsia="仿宋_GB2312"/>
          <w:sz w:val="32"/>
          <w:szCs w:val="32"/>
        </w:rPr>
        <w:t>前款规定事项出现重大变化或者调整，可能对公司股票、存托凭证交易价格产生较大影响的，公司和相关信息披露义务人应当及时予以披露。</w:t>
      </w:r>
    </w:p>
    <w:p>
      <w:pPr>
        <w:pStyle w:val="34"/>
        <w:numPr>
          <w:ilvl w:val="0"/>
          <w:numId w:val="57"/>
        </w:numPr>
        <w:spacing w:line="560" w:lineRule="exact"/>
        <w:ind w:left="0" w:firstLine="640"/>
        <w:rPr>
          <w:rFonts w:ascii="仿宋_GB2312" w:hAnsi="Arial Unicode MS" w:cs="Arial Unicode MS"/>
          <w:sz w:val="32"/>
          <w:szCs w:val="32"/>
        </w:rPr>
      </w:pPr>
      <w:r>
        <w:rPr>
          <w:rFonts w:hint="eastAsia" w:ascii="仿宋_GB2312" w:hAnsi="Arial Unicode MS" w:cs="Arial Unicode MS"/>
          <w:sz w:val="32"/>
          <w:szCs w:val="32"/>
        </w:rPr>
        <w:t>红筹企业进行本规则规定需提交股东大会审议的重大交易、关联交易等事项，可以按照其已披露的境外注册地公司法等法律法规和公司章程规定的权限和程序执行，法律法规另有规定的除外。</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公司按照前款规定将相关事项提交股东大会审议的，应当及时予以披露。</w:t>
      </w:r>
    </w:p>
    <w:p>
      <w:pPr>
        <w:pStyle w:val="34"/>
        <w:numPr>
          <w:ilvl w:val="0"/>
          <w:numId w:val="57"/>
        </w:numPr>
        <w:spacing w:line="560" w:lineRule="exact"/>
        <w:ind w:left="0" w:firstLine="640"/>
        <w:rPr>
          <w:rFonts w:ascii="仿宋_GB2312" w:hAnsi="Arial Unicode MS" w:cs="Arial Unicode MS"/>
          <w:sz w:val="32"/>
          <w:szCs w:val="32"/>
        </w:rPr>
      </w:pPr>
      <w:r>
        <w:rPr>
          <w:rFonts w:hint="eastAsia" w:ascii="仿宋_GB2312" w:hAnsi="Arial Unicode MS" w:cs="Arial Unicode MS"/>
          <w:sz w:val="32"/>
          <w:szCs w:val="32"/>
        </w:rPr>
        <w:t>红筹企业注册地公司法等法律法规或者实践中普遍认同的标准对公司董事会、独立董事职责有不同规定或者安排，导致董事会、独立董事无法按照本所规定履行职责或者发表意见的，红筹企业应当详细说明情况和原因，并聘请律师事务所就上述事项出具法律意见。</w:t>
      </w:r>
    </w:p>
    <w:p>
      <w:pPr>
        <w:pStyle w:val="34"/>
        <w:numPr>
          <w:ilvl w:val="0"/>
          <w:numId w:val="57"/>
        </w:numPr>
        <w:spacing w:line="560" w:lineRule="exact"/>
        <w:ind w:left="0" w:firstLine="640"/>
        <w:rPr>
          <w:rFonts w:ascii="仿宋_GB2312" w:hAnsi="Arial Unicode MS" w:cs="Arial Unicode MS"/>
          <w:sz w:val="32"/>
          <w:szCs w:val="32"/>
        </w:rPr>
      </w:pPr>
      <w:r>
        <w:rPr>
          <w:rFonts w:hint="eastAsia" w:ascii="仿宋_GB2312" w:hAnsi="Arial Unicode MS" w:cs="Arial Unicode MS"/>
          <w:sz w:val="32"/>
          <w:szCs w:val="32"/>
        </w:rPr>
        <w:t>红筹企业在本所上市存托凭证的，应当在年度报告和中期报告中披露存托、托管相关安排在报告期内的实施和变化情况以及报告期末前10名境内存托凭证持有人的名单和持有量。发生下列情形之一的，公司应当及时披露：</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（一）存托人、托管人发生变化；</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（二）存托的基础财产发生被质押、挪用、司法冻结或者其他权属变化；</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（三）对存托协议、托管协议作出重大修改；</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（四）存托凭证与基础证券的转换比例发生变动；</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（五）中国证监会和本所要求披露的其他情形。</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红筹企业变更存托凭证与基础证券的转换比例的，应当经本所同意。</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发生第一款第一项、第二项规定的情形，或者托管协议发生重大修改的，存托人应当及时告知红筹企业，公司应当及时进行披露。</w:t>
      </w:r>
    </w:p>
    <w:p>
      <w:pPr>
        <w:pStyle w:val="34"/>
        <w:numPr>
          <w:ilvl w:val="0"/>
          <w:numId w:val="57"/>
        </w:numPr>
        <w:spacing w:line="560" w:lineRule="exact"/>
        <w:ind w:left="0" w:firstLine="640"/>
        <w:rPr>
          <w:rFonts w:ascii="仿宋_GB2312" w:hAnsi="Arial Unicode MS" w:cs="Arial Unicode MS"/>
          <w:sz w:val="32"/>
          <w:szCs w:val="32"/>
        </w:rPr>
      </w:pPr>
      <w:r>
        <w:rPr>
          <w:rFonts w:hint="eastAsia" w:ascii="仿宋_GB2312" w:hAnsi="Arial Unicode MS" w:cs="Arial Unicode MS"/>
          <w:sz w:val="32"/>
          <w:szCs w:val="32"/>
        </w:rPr>
        <w:t>红筹企业、存托人应当合理安排存托凭证持有人权利行使的时间和方式，保障其有足够时间和便利条件行使相应权利，并根据存托协议的约定及时披露存托凭证持有人权利行使的时间、方式、具体要求和权利行使结果。</w:t>
      </w:r>
    </w:p>
    <w:p>
      <w:pPr>
        <w:spacing w:line="560" w:lineRule="exact"/>
        <w:ind w:firstLine="640" w:firstLineChars="200"/>
        <w:rPr>
          <w:rFonts w:ascii="楷体_GB2312" w:eastAsia="楷体_GB2312"/>
          <w:sz w:val="32"/>
          <w:szCs w:val="32"/>
        </w:rPr>
      </w:pPr>
      <w:r>
        <w:rPr>
          <w:rFonts w:hint="eastAsia" w:ascii="仿宋_GB2312" w:hAnsi="Arial Unicode MS" w:eastAsia="仿宋_GB2312" w:cs="Arial Unicode MS"/>
          <w:sz w:val="32"/>
          <w:szCs w:val="32"/>
        </w:rPr>
        <w:t>公司、存托人通过本所或者本所子公司提供的网络系统征集存托凭证持有人投票意愿的，具体业务流程按照本所相关规定或者业务协议的约定办理，并由公司或者存托人按照存托协议的约定向市场公告。</w:t>
      </w:r>
    </w:p>
    <w:p>
      <w:pPr>
        <w:pStyle w:val="34"/>
        <w:numPr>
          <w:ilvl w:val="0"/>
          <w:numId w:val="57"/>
        </w:numPr>
        <w:spacing w:line="560" w:lineRule="exact"/>
        <w:ind w:left="0" w:firstLine="640"/>
        <w:rPr>
          <w:rFonts w:ascii="仿宋_GB2312" w:hAnsi="Arial Unicode MS" w:cs="Arial Unicode MS"/>
          <w:sz w:val="32"/>
          <w:szCs w:val="32"/>
        </w:rPr>
      </w:pPr>
      <w:r>
        <w:rPr>
          <w:rFonts w:hint="eastAsia" w:ascii="仿宋_GB2312" w:cs="仿宋_GB2312"/>
          <w:sz w:val="32"/>
          <w:szCs w:val="32"/>
          <w:lang w:val="zh-CN"/>
        </w:rPr>
        <w:t>红筹企业和相关信息披露义务人适用本规则相关信息披露要求和持续监管规定，可能导致其难以符合公司注册地、境外上市地有关规定及市场实践中普遍认同的标准的，可以向本所申请调整适用，但应当说明原因和替代方案，并聘请律师事务所出具法律意见。本所认为依法不应调整适用的，红筹企业和相关信息披露义务人应当执行本规则相关规定。</w:t>
      </w:r>
    </w:p>
    <w:p>
      <w:pPr>
        <w:pStyle w:val="36"/>
        <w:numPr>
          <w:ilvl w:val="1"/>
          <w:numId w:val="1"/>
        </w:numPr>
        <w:ind w:left="0" w:firstLine="643"/>
      </w:pPr>
      <w:bookmarkStart w:id="1026" w:name="_Toc531551669"/>
      <w:bookmarkEnd w:id="1026"/>
      <w:bookmarkStart w:id="1027" w:name="_Toc531602012"/>
      <w:bookmarkEnd w:id="1027"/>
      <w:bookmarkStart w:id="1028" w:name="_Toc531600912"/>
      <w:bookmarkEnd w:id="1028"/>
      <w:bookmarkStart w:id="1029" w:name="_Toc531602011"/>
      <w:bookmarkEnd w:id="1029"/>
      <w:bookmarkStart w:id="1030" w:name="_Toc531551668"/>
      <w:bookmarkEnd w:id="1030"/>
      <w:bookmarkStart w:id="1031" w:name="_Toc531600911"/>
      <w:bookmarkEnd w:id="1031"/>
      <w:bookmarkStart w:id="1032" w:name="_Toc7070"/>
      <w:r>
        <w:rPr>
          <w:rFonts w:hint="eastAsia"/>
        </w:rPr>
        <w:t>境内外事项的协调</w:t>
      </w:r>
      <w:bookmarkEnd w:id="1032"/>
    </w:p>
    <w:p>
      <w:pPr>
        <w:pStyle w:val="34"/>
        <w:numPr>
          <w:ilvl w:val="0"/>
          <w:numId w:val="58"/>
        </w:numPr>
        <w:spacing w:line="560" w:lineRule="exact"/>
        <w:ind w:left="0" w:firstLine="640"/>
        <w:rPr>
          <w:rFonts w:ascii="仿宋_GB2312" w:hAnsi="Arial Unicode MS" w:cs="Arial Unicode MS"/>
          <w:sz w:val="32"/>
          <w:szCs w:val="32"/>
        </w:rPr>
      </w:pPr>
      <w:r>
        <w:rPr>
          <w:rFonts w:hint="eastAsia" w:ascii="仿宋_GB2312" w:hAnsi="Arial Unicode MS" w:cs="Arial Unicode MS"/>
          <w:sz w:val="32"/>
          <w:szCs w:val="32"/>
        </w:rPr>
        <w:t>在本所上市的公司同时有证券在境外证券交易所上市的，应当保证将境外证券交易所要求披露的信息，及时向本所报告，并同时在指定媒体上按照本规则规定披露。</w:t>
      </w:r>
    </w:p>
    <w:p>
      <w:pPr>
        <w:pStyle w:val="34"/>
        <w:numPr>
          <w:ilvl w:val="0"/>
          <w:numId w:val="58"/>
        </w:numPr>
        <w:spacing w:line="560" w:lineRule="exact"/>
        <w:ind w:left="0" w:firstLine="640"/>
        <w:rPr>
          <w:rFonts w:ascii="仿宋_GB2312" w:hAnsi="Arial Unicode MS" w:cs="Arial Unicode MS"/>
          <w:sz w:val="32"/>
          <w:szCs w:val="32"/>
        </w:rPr>
      </w:pPr>
      <w:r>
        <w:rPr>
          <w:rFonts w:hint="eastAsia" w:ascii="仿宋_GB2312" w:hAnsi="Arial Unicode MS" w:cs="Arial Unicode MS"/>
          <w:sz w:val="32"/>
          <w:szCs w:val="32"/>
        </w:rPr>
        <w:t>上市公司就同一事件向境外证券交易所提供的报告和公告应当与向本所提供的内容一致。出现重大差异时，公司应当向本所作出专项说明，并按照本所要求披露更正或补充公告。</w:t>
      </w:r>
    </w:p>
    <w:p>
      <w:pPr>
        <w:pStyle w:val="34"/>
        <w:numPr>
          <w:ilvl w:val="0"/>
          <w:numId w:val="58"/>
        </w:numPr>
        <w:spacing w:line="560" w:lineRule="exact"/>
        <w:ind w:left="0" w:firstLine="640"/>
        <w:rPr>
          <w:rFonts w:ascii="仿宋_GB2312"/>
          <w:sz w:val="32"/>
          <w:szCs w:val="32"/>
        </w:rPr>
      </w:pPr>
      <w:r>
        <w:rPr>
          <w:rFonts w:hint="eastAsia" w:ascii="仿宋_GB2312" w:hAnsi="Arial Unicode MS" w:cs="Arial Unicode MS"/>
          <w:sz w:val="32"/>
          <w:szCs w:val="32"/>
        </w:rPr>
        <w:t>上市公司股票及其衍生品种被境外证券交易所停牌的，应当及时向本所报告停牌的事项和原因，并提交是否需要向本所申请停牌的书面说明。</w:t>
      </w:r>
    </w:p>
    <w:p>
      <w:pPr>
        <w:pStyle w:val="34"/>
        <w:numPr>
          <w:ilvl w:val="0"/>
          <w:numId w:val="58"/>
        </w:numPr>
        <w:spacing w:line="560" w:lineRule="exact"/>
        <w:ind w:left="0" w:firstLine="640"/>
        <w:rPr>
          <w:rFonts w:ascii="仿宋_GB2312" w:hAnsi="黑体"/>
          <w:sz w:val="32"/>
          <w:szCs w:val="32"/>
        </w:rPr>
      </w:pPr>
      <w:r>
        <w:rPr>
          <w:rFonts w:hint="eastAsia" w:ascii="仿宋_GB2312" w:hAnsi="黑体"/>
          <w:sz w:val="32"/>
          <w:szCs w:val="32"/>
        </w:rPr>
        <w:t>本章未尽事宜，适用有关法律法规和本所与其他证券交易所签署的监管合作备忘录以及其他相关规定。</w:t>
      </w:r>
    </w:p>
    <w:p>
      <w:pPr>
        <w:spacing w:line="560" w:lineRule="exact"/>
        <w:rPr>
          <w:rFonts w:ascii="仿宋_GB2312" w:hAnsi="黑体" w:eastAsia="仿宋_GB2312"/>
          <w:sz w:val="32"/>
          <w:szCs w:val="32"/>
        </w:rPr>
      </w:pPr>
    </w:p>
    <w:p>
      <w:pPr>
        <w:pStyle w:val="38"/>
        <w:numPr>
          <w:ilvl w:val="0"/>
          <w:numId w:val="1"/>
        </w:numPr>
        <w:ind w:left="0" w:firstLine="643"/>
        <w:rPr>
          <w:b/>
        </w:rPr>
      </w:pPr>
      <w:bookmarkStart w:id="1033" w:name="_Toc8942"/>
      <w:r>
        <w:rPr>
          <w:rFonts w:hint="eastAsia"/>
          <w:b/>
        </w:rPr>
        <w:t>日常监管和违反本规则的处理</w:t>
      </w:r>
      <w:bookmarkEnd w:id="1033"/>
    </w:p>
    <w:p>
      <w:pPr>
        <w:pStyle w:val="36"/>
        <w:numPr>
          <w:ilvl w:val="1"/>
          <w:numId w:val="1"/>
        </w:numPr>
        <w:ind w:left="0" w:firstLine="643"/>
      </w:pPr>
      <w:bookmarkStart w:id="1034" w:name="_Toc15769"/>
      <w:r>
        <w:rPr>
          <w:rFonts w:hint="eastAsia"/>
        </w:rPr>
        <w:t>日常监管</w:t>
      </w:r>
      <w:bookmarkEnd w:id="1034"/>
    </w:p>
    <w:p>
      <w:pPr>
        <w:numPr>
          <w:ilvl w:val="2"/>
          <w:numId w:val="59"/>
        </w:numPr>
        <w:tabs>
          <w:tab w:val="left" w:pos="0"/>
          <w:tab w:val="left" w:pos="1560"/>
          <w:tab w:val="clear" w:pos="1418"/>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本所可对本规则第1.4条、第1.5条规定的机构及其相关人员（以下统称监管对象），单独或者合并采取下列日常工作措施：</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（一）要求对有关问题作出解释和说明；</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（二）要求提供相关备查文件或材料；</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（三）要求聘请保荐机构、相关证券服务机构发表意见；</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（四）约见有关人员；</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（五）调阅、查看工作底稿、证券业务活动记录及相关资料；</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（六）发出规范运作建议书；</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（七）向中国证监会报告有关情况；</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（八）向有关单位通报相关情况；</w:t>
      </w:r>
    </w:p>
    <w:p>
      <w:pPr>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（九）其他措施。</w:t>
      </w:r>
    </w:p>
    <w:p>
      <w:pPr>
        <w:numPr>
          <w:ilvl w:val="2"/>
          <w:numId w:val="59"/>
        </w:numPr>
        <w:tabs>
          <w:tab w:val="left" w:pos="0"/>
          <w:tab w:val="left" w:pos="1560"/>
          <w:tab w:val="clear" w:pos="1418"/>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本所可以对上市公司、保荐机构、证券服务机构等主体（以下统称检查对象）进行现场检查，相关主体应当积极配合。</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前款所述现场检查，是指本所在检查对象的生产、经营、管理场所以及其他相关场所，采取查阅、复制文件和资料、查看实物、谈话及询问等方式，对检查对象的信息披露、公司治理等规范运作情况或者履职情况进行监督检查的行为。</w:t>
      </w:r>
    </w:p>
    <w:p>
      <w:pPr>
        <w:numPr>
          <w:ilvl w:val="2"/>
          <w:numId w:val="59"/>
        </w:numPr>
        <w:tabs>
          <w:tab w:val="left" w:pos="0"/>
          <w:tab w:val="left" w:pos="1560"/>
          <w:tab w:val="clear" w:pos="1418"/>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本所认为必要的，可以公开对监管对象采取的日常工作措施，上市公司应当按照本所要求及时披露有关事项。</w:t>
      </w:r>
    </w:p>
    <w:p>
      <w:pPr>
        <w:pStyle w:val="36"/>
        <w:numPr>
          <w:ilvl w:val="1"/>
          <w:numId w:val="1"/>
        </w:numPr>
        <w:ind w:left="0" w:firstLine="643"/>
      </w:pPr>
      <w:bookmarkStart w:id="1035" w:name="_Toc25397"/>
      <w:r>
        <w:rPr>
          <w:rFonts w:hint="eastAsia"/>
        </w:rPr>
        <w:t>违反本规则的处理</w:t>
      </w:r>
      <w:bookmarkEnd w:id="1035"/>
    </w:p>
    <w:p>
      <w:pPr>
        <w:numPr>
          <w:ilvl w:val="2"/>
          <w:numId w:val="60"/>
        </w:numPr>
        <w:tabs>
          <w:tab w:val="left" w:pos="0"/>
          <w:tab w:val="left" w:pos="1560"/>
          <w:tab w:val="left" w:pos="1843"/>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监管对象违反本规则的，本所可以视情节轻重，对其单独或者合并采取监管措施或者实施纪律处分。</w:t>
      </w:r>
    </w:p>
    <w:p>
      <w:pPr>
        <w:numPr>
          <w:ilvl w:val="2"/>
          <w:numId w:val="60"/>
        </w:numPr>
        <w:tabs>
          <w:tab w:val="left" w:pos="0"/>
          <w:tab w:val="left" w:pos="1560"/>
          <w:tab w:val="left" w:pos="1843"/>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本所可以根据本规则及本所其他有关规定，视情节轻重对监管对象采取下列监管措施：</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（一）口头警示；</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（二）书面警示；</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（三）监管谈话；</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（四）要求限期改正；</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（五）要求公开更正、澄清或说明；</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（六）要求公开致歉；</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（七）要求聘请保荐机构、证券服务机构进行核查并发表意见；</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（八）要求限期参加培训或考试；</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（九）要求限期召开投资者说明会；</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（十）要求上市公司董事会追偿损失；</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（十一）对未按要求改正的上市公司股票实施停牌；</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（十二）对未按要求改正的上市公司暂停适用信息披露直通车业务；</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（十三）</w:t>
      </w:r>
      <w:r>
        <w:rPr>
          <w:rFonts w:ascii="仿宋_GB2312" w:hAnsi="Arial Unicode MS" w:eastAsia="仿宋_GB2312" w:cs="Arial Unicode MS"/>
          <w:sz w:val="32"/>
          <w:szCs w:val="32"/>
        </w:rPr>
        <w:t>建议上市公司更换相关任职人员</w:t>
      </w:r>
      <w:r>
        <w:rPr>
          <w:rFonts w:hint="eastAsia" w:ascii="仿宋_GB2312" w:hAnsi="Arial Unicode MS" w:eastAsia="仿宋_GB2312" w:cs="Arial Unicode MS"/>
          <w:sz w:val="32"/>
          <w:szCs w:val="32"/>
        </w:rPr>
        <w:t>；</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（十四）向相关主管部门出具监管建议函；</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（十五）本所规定的其他监管措施。</w:t>
      </w:r>
    </w:p>
    <w:p>
      <w:pPr>
        <w:numPr>
          <w:ilvl w:val="2"/>
          <w:numId w:val="60"/>
        </w:numPr>
        <w:tabs>
          <w:tab w:val="left" w:pos="0"/>
          <w:tab w:val="left" w:pos="1560"/>
          <w:tab w:val="left" w:pos="1843"/>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发行人、上市公司、相关信息披露义务人及相关人员未能履行信息披露义务，</w:t>
      </w:r>
      <w:r>
        <w:rPr>
          <w:rFonts w:hint="eastAsia" w:ascii="仿宋_GB2312" w:hAnsi="Arial Unicode MS" w:eastAsia="仿宋_GB2312" w:cs="Arial Unicode MS"/>
          <w:sz w:val="32"/>
          <w:szCs w:val="32"/>
        </w:rPr>
        <w:t>或者信息披露不符合真实、准确、完整、及时、公平要求，或者存在违反本规则、</w:t>
      </w:r>
      <w:r>
        <w:rPr>
          <w:rFonts w:hint="eastAsia" w:ascii="仿宋_GB2312" w:eastAsia="仿宋_GB2312"/>
          <w:sz w:val="32"/>
          <w:szCs w:val="32"/>
        </w:rPr>
        <w:t>向本所作出的承诺的其他情形的，本所可以视情节轻重实施下列纪律处分：</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（一）通报批评；</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（二）公开谴责；</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（三）收取惩罚性违约金。</w:t>
      </w:r>
    </w:p>
    <w:p>
      <w:pPr>
        <w:numPr>
          <w:ilvl w:val="2"/>
          <w:numId w:val="60"/>
        </w:numPr>
        <w:tabs>
          <w:tab w:val="left" w:pos="0"/>
          <w:tab w:val="left" w:pos="1560"/>
          <w:tab w:val="left" w:pos="1843"/>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上市公司控股股东、实际控制人存在下列情形之一的，本所</w:t>
      </w:r>
      <w:r>
        <w:rPr>
          <w:rFonts w:hint="eastAsia" w:ascii="仿宋_GB2312" w:eastAsia="仿宋_GB2312"/>
          <w:sz w:val="32"/>
          <w:szCs w:val="32"/>
        </w:rPr>
        <w:t>可以视情节轻重实施第14.2.5条规定的纪律处分：</w:t>
      </w:r>
    </w:p>
    <w:p>
      <w:pPr>
        <w:tabs>
          <w:tab w:val="left" w:pos="1560"/>
          <w:tab w:val="left" w:pos="1986"/>
        </w:tabs>
        <w:snapToGrid w:val="0"/>
        <w:spacing w:line="560" w:lineRule="exact"/>
        <w:rPr>
          <w:rFonts w:ascii="仿宋_GB2312" w:hAnsi="宋体" w:eastAsia="仿宋_GB2312"/>
          <w:sz w:val="32"/>
          <w:szCs w:val="32"/>
        </w:rPr>
      </w:pPr>
      <w:r>
        <w:rPr>
          <w:rFonts w:hint="eastAsia" w:ascii="仿宋_GB2312" w:hAnsi="宋体" w:eastAsia="仿宋_GB2312"/>
          <w:sz w:val="32"/>
          <w:szCs w:val="32"/>
        </w:rPr>
        <w:t xml:space="preserve">    （一）拒不履行或者拒不配合上市公司履行信息披露义务；</w:t>
      </w:r>
    </w:p>
    <w:p>
      <w:pPr>
        <w:tabs>
          <w:tab w:val="left" w:pos="1560"/>
          <w:tab w:val="left" w:pos="1986"/>
        </w:tabs>
        <w:snapToGrid w:val="0"/>
        <w:spacing w:line="560" w:lineRule="exact"/>
        <w:ind w:firstLine="640"/>
        <w:rPr>
          <w:rFonts w:ascii="仿宋_GB2312" w:hAnsi="宋体" w:eastAsia="仿宋_GB2312"/>
          <w:sz w:val="32"/>
          <w:szCs w:val="32"/>
        </w:rPr>
      </w:pPr>
      <w:r>
        <w:rPr>
          <w:rFonts w:hint="eastAsia" w:ascii="仿宋_GB2312" w:hAnsi="宋体" w:eastAsia="仿宋_GB2312"/>
          <w:sz w:val="32"/>
          <w:szCs w:val="32"/>
        </w:rPr>
        <w:t>（二）违反法律法规、本规则及本所其他规定、公司章程，直接或间接干预公司决策和经营活动；</w:t>
      </w:r>
    </w:p>
    <w:p>
      <w:pPr>
        <w:tabs>
          <w:tab w:val="left" w:pos="1560"/>
          <w:tab w:val="left" w:pos="1986"/>
        </w:tabs>
        <w:snapToGrid w:val="0"/>
        <w:spacing w:line="560" w:lineRule="exact"/>
        <w:ind w:firstLine="640"/>
        <w:rPr>
          <w:rFonts w:ascii="仿宋_GB2312" w:hAnsi="宋体" w:eastAsia="仿宋_GB2312"/>
          <w:sz w:val="32"/>
          <w:szCs w:val="32"/>
        </w:rPr>
      </w:pPr>
      <w:r>
        <w:rPr>
          <w:rFonts w:hint="eastAsia" w:ascii="仿宋_GB2312" w:hAnsi="宋体" w:eastAsia="仿宋_GB2312"/>
          <w:sz w:val="32"/>
          <w:szCs w:val="32"/>
        </w:rPr>
        <w:t>（三）利用控股、控制地位，侵害上市公司财产权利，谋取上市公司商业机会，损害上市公司和中小股东合法利益；</w:t>
      </w:r>
    </w:p>
    <w:p>
      <w:pPr>
        <w:tabs>
          <w:tab w:val="left" w:pos="1560"/>
          <w:tab w:val="left" w:pos="1986"/>
        </w:tabs>
        <w:snapToGrid w:val="0"/>
        <w:spacing w:line="560" w:lineRule="exact"/>
        <w:ind w:firstLine="640"/>
        <w:rPr>
          <w:rFonts w:ascii="仿宋_GB2312" w:hAnsi="宋体" w:eastAsia="仿宋_GB2312"/>
          <w:sz w:val="32"/>
          <w:szCs w:val="32"/>
        </w:rPr>
      </w:pPr>
      <w:r>
        <w:rPr>
          <w:rFonts w:hint="eastAsia" w:ascii="仿宋_GB2312" w:hAnsi="宋体" w:eastAsia="仿宋_GB2312"/>
          <w:sz w:val="32"/>
          <w:szCs w:val="32"/>
        </w:rPr>
        <w:t>（四）违反向上市公司或者其他股东作出的承诺；</w:t>
      </w:r>
    </w:p>
    <w:p>
      <w:pPr>
        <w:tabs>
          <w:tab w:val="left" w:pos="1560"/>
          <w:tab w:val="left" w:pos="1986"/>
        </w:tabs>
        <w:snapToGrid w:val="0"/>
        <w:spacing w:line="560" w:lineRule="exact"/>
        <w:ind w:firstLine="640"/>
        <w:rPr>
          <w:rFonts w:ascii="仿宋_GB2312" w:hAnsi="宋体" w:eastAsia="仿宋_GB2312"/>
          <w:sz w:val="32"/>
          <w:szCs w:val="32"/>
        </w:rPr>
      </w:pPr>
      <w:r>
        <w:rPr>
          <w:rFonts w:hint="eastAsia" w:ascii="仿宋_GB2312" w:hAnsi="宋体" w:eastAsia="仿宋_GB2312"/>
          <w:sz w:val="32"/>
          <w:szCs w:val="32"/>
        </w:rPr>
        <w:t>（五）违反本规则规定或者向本所作出的承诺的其他情形。</w:t>
      </w:r>
    </w:p>
    <w:p>
      <w:pPr>
        <w:numPr>
          <w:ilvl w:val="2"/>
          <w:numId w:val="60"/>
        </w:numPr>
        <w:tabs>
          <w:tab w:val="left" w:pos="0"/>
          <w:tab w:val="left" w:pos="1560"/>
          <w:tab w:val="left" w:pos="1843"/>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上市公司董事、监事、高级管理人员未能履行忠实、勤勉义务，或者存在违反本规则、向本所作出的承诺的其他情形的，本所可以视情节轻重实施下列纪律处分：</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（一）通报批评；</w:t>
      </w:r>
    </w:p>
    <w:p>
      <w:pPr>
        <w:autoSpaceDE w:val="0"/>
        <w:autoSpaceDN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（二）公开谴责；</w:t>
      </w:r>
    </w:p>
    <w:p>
      <w:pPr>
        <w:autoSpaceDE w:val="0"/>
        <w:autoSpaceDN w:val="0"/>
        <w:snapToGrid w:val="0"/>
        <w:spacing w:line="560" w:lineRule="exact"/>
        <w:ind w:firstLine="640" w:firstLineChars="200"/>
        <w:rPr>
          <w:rFonts w:ascii="仿宋_GB2312" w:hAnsi="宋体" w:eastAsia="仿宋_GB2312"/>
          <w:sz w:val="32"/>
          <w:szCs w:val="32"/>
        </w:rPr>
      </w:pPr>
      <w:bookmarkStart w:id="1036" w:name="OLE_LINK2"/>
      <w:r>
        <w:rPr>
          <w:rFonts w:hint="eastAsia" w:ascii="仿宋_GB2312" w:hAnsi="宋体" w:eastAsia="仿宋_GB2312"/>
          <w:sz w:val="32"/>
          <w:szCs w:val="32"/>
        </w:rPr>
        <w:t>（三）公开认定其3年以上不适合担任上市公司董事</w:t>
      </w:r>
      <w:bookmarkEnd w:id="1036"/>
      <w:r>
        <w:rPr>
          <w:rFonts w:hint="eastAsia" w:ascii="仿宋_GB2312" w:hAnsi="宋体" w:eastAsia="仿宋_GB2312"/>
          <w:sz w:val="32"/>
          <w:szCs w:val="32"/>
        </w:rPr>
        <w:t>、监事、高级管理人员、董事会秘书；</w:t>
      </w:r>
    </w:p>
    <w:p>
      <w:pPr>
        <w:autoSpaceDE w:val="0"/>
        <w:autoSpaceDN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（四）收取惩罚性违约金。</w:t>
      </w:r>
    </w:p>
    <w:p>
      <w:pPr>
        <w:numPr>
          <w:ilvl w:val="2"/>
          <w:numId w:val="60"/>
        </w:numPr>
        <w:tabs>
          <w:tab w:val="left" w:pos="0"/>
          <w:tab w:val="left" w:pos="1560"/>
          <w:tab w:val="left" w:pos="1843"/>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宋体" w:eastAsia="仿宋_GB2312"/>
          <w:color w:val="000000"/>
          <w:sz w:val="32"/>
          <w:szCs w:val="32"/>
        </w:rPr>
        <w:t>破产管理人和破产管理人成员违反本规则规定的，</w:t>
      </w:r>
      <w:r>
        <w:rPr>
          <w:rFonts w:hint="eastAsia" w:ascii="仿宋_GB2312" w:hAnsi="宋体" w:eastAsia="仿宋_GB2312"/>
          <w:sz w:val="32"/>
          <w:szCs w:val="32"/>
        </w:rPr>
        <w:t>本所可以视情节轻重实施下列纪律处分：</w:t>
      </w:r>
    </w:p>
    <w:p>
      <w:pPr>
        <w:tabs>
          <w:tab w:val="left" w:pos="1080"/>
        </w:tabs>
        <w:autoSpaceDE w:val="0"/>
        <w:autoSpaceDN w:val="0"/>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（一）通报批评；</w:t>
      </w:r>
    </w:p>
    <w:p>
      <w:pPr>
        <w:tabs>
          <w:tab w:val="left" w:pos="1080"/>
        </w:tabs>
        <w:autoSpaceDE w:val="0"/>
        <w:autoSpaceDN w:val="0"/>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（二）公开谴责；</w:t>
      </w:r>
    </w:p>
    <w:p>
      <w:pPr>
        <w:tabs>
          <w:tab w:val="left" w:pos="1560"/>
          <w:tab w:val="left" w:pos="1986"/>
        </w:tabs>
        <w:snapToGrid w:val="0"/>
        <w:spacing w:line="560" w:lineRule="exact"/>
        <w:ind w:left="640"/>
        <w:rPr>
          <w:rFonts w:ascii="仿宋_GB2312" w:hAnsi="宋体" w:eastAsia="仿宋_GB2312"/>
          <w:color w:val="000000"/>
          <w:sz w:val="32"/>
          <w:szCs w:val="32"/>
        </w:rPr>
      </w:pPr>
      <w:r>
        <w:rPr>
          <w:rFonts w:hint="eastAsia" w:ascii="仿宋_GB2312" w:hAnsi="宋体" w:eastAsia="仿宋_GB2312"/>
          <w:color w:val="000000"/>
          <w:sz w:val="32"/>
          <w:szCs w:val="32"/>
        </w:rPr>
        <w:t>（三）建议法院更换破产管理人或破产管理人成员。</w:t>
      </w:r>
    </w:p>
    <w:p>
      <w:pPr>
        <w:numPr>
          <w:ilvl w:val="2"/>
          <w:numId w:val="60"/>
        </w:numPr>
        <w:tabs>
          <w:tab w:val="left" w:pos="0"/>
          <w:tab w:val="left" w:pos="1560"/>
          <w:tab w:val="left" w:pos="1843"/>
        </w:tabs>
        <w:snapToGrid w:val="0"/>
        <w:spacing w:line="560" w:lineRule="exact"/>
        <w:ind w:left="0" w:firstLine="640" w:firstLineChars="200"/>
        <w:rPr>
          <w:rFonts w:ascii="仿宋_GB2312" w:eastAsia="仿宋_GB2312"/>
          <w:sz w:val="32"/>
          <w:szCs w:val="32"/>
        </w:rPr>
      </w:pPr>
      <w:r>
        <w:rPr>
          <w:rFonts w:hint="eastAsia" w:ascii="仿宋_GB2312" w:eastAsia="仿宋_GB2312"/>
          <w:sz w:val="32"/>
          <w:szCs w:val="32"/>
        </w:rPr>
        <w:t>上市公司股东减持股份违反本规则，或者通过交易、转让或者其他安排规避本规则的，本所可以采取书面警示、通报批评、公开谴责、限制交易等监管措施或者纪律处分。</w:t>
      </w:r>
    </w:p>
    <w:p>
      <w:pPr>
        <w:tabs>
          <w:tab w:val="left" w:pos="1560"/>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违规减持行为导致股价异常波动、严重影响市场交易秩序或者损害投资者利益的，本所从重予以处分。</w:t>
      </w:r>
    </w:p>
    <w:p>
      <w:pPr>
        <w:numPr>
          <w:ilvl w:val="2"/>
          <w:numId w:val="60"/>
        </w:numPr>
        <w:tabs>
          <w:tab w:val="left" w:pos="0"/>
          <w:tab w:val="left" w:pos="1560"/>
          <w:tab w:val="left" w:pos="1843"/>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保荐机构、保荐代表人、证券服务机构及其相关人员未按本规则履行职责，或者履行职责过程中未能诚实守信、勤勉尽责的，本所可以根据情节轻重，对其采取口头警示、书面警示、监管谈话、要求限期改正等相应监管措施或者实施通报批评、公开谴责等纪律处分。</w:t>
      </w:r>
    </w:p>
    <w:p>
      <w:pPr>
        <w:tabs>
          <w:tab w:val="left" w:pos="1560"/>
          <w:tab w:val="left" w:pos="1986"/>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前款规定的主体制作或者出具的文件存在虚假记载、误导性陈述或者重大遗漏的，本所可以采取3个月至3年内不接受保荐机构、证券服务机构提交的申请文件或信息披露文件，1年至3年内不接受保荐代表人及其他相关人员、证券服务机构相关人员签字的申请文件或者信息披露文件的纪律处分。</w:t>
      </w:r>
    </w:p>
    <w:p>
      <w:pPr>
        <w:numPr>
          <w:ilvl w:val="2"/>
          <w:numId w:val="60"/>
        </w:numPr>
        <w:tabs>
          <w:tab w:val="left" w:pos="0"/>
          <w:tab w:val="left" w:pos="1560"/>
          <w:tab w:val="left" w:pos="1843"/>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上市公司出现下列情形之一，保荐机构、保荐代表人未能诚实守信、勤勉尽责的，本所可以根据情节轻重，对相关机构及其人员采取前条规定的监管措施或者纪律处分：</w:t>
      </w:r>
    </w:p>
    <w:p>
      <w:pPr>
        <w:tabs>
          <w:tab w:val="left" w:pos="1560"/>
          <w:tab w:val="left" w:pos="1986"/>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（一）信息披露文件存在虚假记载、误导性陈述或者重大遗漏；</w:t>
      </w:r>
    </w:p>
    <w:p>
      <w:pPr>
        <w:tabs>
          <w:tab w:val="left" w:pos="1560"/>
          <w:tab w:val="left" w:pos="1986"/>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（二）控股股东、实际控制人或其他关联方违规占用上市公司资金；</w:t>
      </w:r>
    </w:p>
    <w:p>
      <w:pPr>
        <w:tabs>
          <w:tab w:val="left" w:pos="1560"/>
          <w:tab w:val="left" w:pos="1986"/>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（三）董事、监事、高级管理人员因侵害上市公司利益受到行政处罚或者被追究刑事责任；</w:t>
      </w:r>
    </w:p>
    <w:p>
      <w:pPr>
        <w:tabs>
          <w:tab w:val="left" w:pos="1560"/>
          <w:tab w:val="left" w:pos="1986"/>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（四）违规提供担保；</w:t>
      </w:r>
    </w:p>
    <w:p>
      <w:pPr>
        <w:tabs>
          <w:tab w:val="left" w:pos="1560"/>
          <w:tab w:val="left" w:pos="1986"/>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（五）违反规范运作和信息披露相关规定的其他情形。</w:t>
      </w:r>
    </w:p>
    <w:p>
      <w:pPr>
        <w:numPr>
          <w:ilvl w:val="2"/>
          <w:numId w:val="60"/>
        </w:numPr>
        <w:tabs>
          <w:tab w:val="left" w:pos="0"/>
          <w:tab w:val="left" w:pos="1560"/>
          <w:tab w:val="left" w:pos="1843"/>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纪律处分由本所根据纪律处分委员会的意见作出决定并实施，监管措施由本所或者本所公司监管部门根据相关规则的规定作出决定并实施。</w:t>
      </w:r>
    </w:p>
    <w:p>
      <w:pPr>
        <w:numPr>
          <w:ilvl w:val="2"/>
          <w:numId w:val="60"/>
        </w:numPr>
        <w:tabs>
          <w:tab w:val="left" w:pos="0"/>
          <w:tab w:val="left" w:pos="1560"/>
          <w:tab w:val="left" w:pos="1843"/>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纪律处分对象对本所纪律处分意向书有异议的，可以按照本所关于听证程序的相关规定，向本所提出听证要求。</w:t>
      </w:r>
    </w:p>
    <w:p>
      <w:pPr>
        <w:numPr>
          <w:ilvl w:val="2"/>
          <w:numId w:val="60"/>
        </w:numPr>
        <w:tabs>
          <w:tab w:val="left" w:pos="0"/>
          <w:tab w:val="left" w:pos="1560"/>
          <w:tab w:val="left" w:pos="1843"/>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纪律处分对象不服本所纪律处分决定的，可以按照本所关于复核程序的相关规定，向本所复核委员会申请复核。复核期间不停止该处分决定的执行。</w:t>
      </w:r>
    </w:p>
    <w:p>
      <w:pPr>
        <w:numPr>
          <w:ilvl w:val="2"/>
          <w:numId w:val="60"/>
        </w:numPr>
        <w:tabs>
          <w:tab w:val="left" w:pos="0"/>
          <w:tab w:val="left" w:pos="1560"/>
          <w:tab w:val="left" w:pos="1843"/>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本所建立监管对象诚信公示制度，公开对监管对象实施监管措施或纪律处分的情况，记入诚信档案，并向中国证监会报告。</w:t>
      </w:r>
    </w:p>
    <w:p>
      <w:pPr>
        <w:tabs>
          <w:tab w:val="left" w:pos="1560"/>
        </w:tabs>
        <w:snapToGrid w:val="0"/>
        <w:spacing w:line="560" w:lineRule="exact"/>
        <w:ind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本所可以要求监管对象在中国证监会指定媒体或本所网站就被实施监管措施或纪律处分的相关情况作出公告。</w:t>
      </w:r>
    </w:p>
    <w:p>
      <w:pPr>
        <w:numPr>
          <w:ilvl w:val="2"/>
          <w:numId w:val="60"/>
        </w:numPr>
        <w:tabs>
          <w:tab w:val="left" w:pos="0"/>
          <w:tab w:val="left" w:pos="1560"/>
          <w:tab w:val="left" w:pos="1843"/>
        </w:tabs>
        <w:snapToGrid w:val="0"/>
        <w:spacing w:line="560" w:lineRule="exact"/>
        <w:ind w:left="0" w:firstLine="640" w:firstLineChars="200"/>
        <w:rPr>
          <w:rFonts w:ascii="仿宋_GB2312" w:hAnsi="Arial Unicode MS" w:eastAsia="仿宋_GB2312" w:cs="Arial Unicode MS"/>
          <w:sz w:val="32"/>
          <w:szCs w:val="32"/>
        </w:rPr>
      </w:pPr>
      <w:r>
        <w:rPr>
          <w:rFonts w:hint="eastAsia" w:ascii="仿宋_GB2312" w:hAnsi="Arial Unicode MS" w:eastAsia="仿宋_GB2312" w:cs="Arial Unicode MS"/>
          <w:sz w:val="32"/>
          <w:szCs w:val="32"/>
        </w:rPr>
        <w:t>监管对象被本所实施监管措施或者纪律处分，本所要求其自查整改的，监管对象应当及时报送并按要求披露相关自查整改报告。</w:t>
      </w:r>
    </w:p>
    <w:p>
      <w:pPr>
        <w:spacing w:line="560" w:lineRule="exact"/>
        <w:ind w:firstLine="640" w:firstLineChars="200"/>
        <w:rPr>
          <w:sz w:val="32"/>
          <w:szCs w:val="32"/>
        </w:rPr>
      </w:pPr>
    </w:p>
    <w:p>
      <w:pPr>
        <w:pStyle w:val="38"/>
        <w:numPr>
          <w:ilvl w:val="0"/>
          <w:numId w:val="1"/>
        </w:numPr>
        <w:ind w:left="0" w:firstLine="643"/>
        <w:rPr>
          <w:b/>
        </w:rPr>
      </w:pPr>
      <w:bookmarkStart w:id="1037" w:name="_Toc15158"/>
      <w:r>
        <w:rPr>
          <w:rFonts w:hint="eastAsia"/>
          <w:b/>
        </w:rPr>
        <w:t>释</w:t>
      </w:r>
      <w:r>
        <w:rPr>
          <w:b/>
        </w:rPr>
        <w:t xml:space="preserve">  </w:t>
      </w:r>
      <w:r>
        <w:rPr>
          <w:rFonts w:hint="eastAsia"/>
          <w:b/>
        </w:rPr>
        <w:t>义</w:t>
      </w:r>
      <w:bookmarkEnd w:id="1037"/>
    </w:p>
    <w:p>
      <w:pPr>
        <w:numPr>
          <w:ilvl w:val="2"/>
          <w:numId w:val="61"/>
        </w:numPr>
        <w:tabs>
          <w:tab w:val="left" w:pos="0"/>
          <w:tab w:val="left" w:pos="1560"/>
          <w:tab w:val="clear" w:pos="1418"/>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本规则下列用语含义如下：</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上市公司，指其股票、存托凭证及其衍生品种在本所科创板上市的股份有限公司。</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Times New Roman" w:hAnsi="Times New Roman"/>
          <w:sz w:val="32"/>
          <w:szCs w:val="32"/>
        </w:rPr>
        <w:t>上市时未盈利，指公司上市前一个会计年度经审计扣除非经常性损益前后净利润孰低者为负。</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sz w:val="32"/>
          <w:szCs w:val="32"/>
        </w:rPr>
        <w:t>实现盈利，指上市时未盈利的科创企业上市后首次在一个完整会计年度实现盈利。</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sz w:val="32"/>
          <w:szCs w:val="32"/>
        </w:rPr>
        <w:t>协议控制架构，指红筹企业通过协议方式实际控制境内实体运营企业的一种投资结构。</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sz w:val="32"/>
          <w:szCs w:val="32"/>
        </w:rPr>
        <w:t>红筹企业</w:t>
      </w:r>
      <w:r>
        <w:rPr>
          <w:rFonts w:hint="eastAsia" w:ascii="仿宋_GB2312" w:hAnsi="宋体"/>
          <w:sz w:val="32"/>
          <w:szCs w:val="32"/>
        </w:rPr>
        <w:t>，指注册地在境外，主要经营活动在境内的企业。</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相关信息披露义务人，指</w:t>
      </w:r>
      <w:r>
        <w:rPr>
          <w:rFonts w:hint="eastAsia" w:ascii="仿宋_GB2312" w:hAnsi="宋体"/>
          <w:bCs/>
          <w:iCs/>
          <w:kern w:val="28"/>
          <w:sz w:val="32"/>
          <w:szCs w:val="32"/>
        </w:rPr>
        <w:t>发行人、</w:t>
      </w:r>
      <w:r>
        <w:rPr>
          <w:rFonts w:hint="eastAsia" w:ascii="仿宋_GB2312" w:hAnsi="宋体"/>
          <w:sz w:val="32"/>
          <w:szCs w:val="32"/>
        </w:rPr>
        <w:t>上市公司的董事、监事、高级管理人员、核心技术人员、股东或存托凭证持有人、实际控制人、收购人及其相关人员、重大资产重组交易对方及其相关人员、破产管理人及其成员等。</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及时，指自起算日起或触及本规则披露时点的2个交易日内。</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披露，指上市公司或相关信息披露义务人按法律法规、本规则及本所其他规定在本所网站和其他指定媒体上公告信息。</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直通车业务，指上市公司按照本规则的规定，通过本所信息披露系统自行登记和上传信息披露文件，并直接提交至本所网站及其他指定媒体进行披露的信息披露方式。</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独立董事，指不在上市公司担任除董事外的其他职务，并与其所受聘的上市公司及其主要股东、实际控制人不存在直接或者间接利害关系，或者其他可能影响其进行独立客观判断关系的董事。</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高级管理人员，指公司经理、副经理、董事会秘书、财务负责人及公司章程规定的其他人员。</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控股股东，指其持有的股份占公司股本总额50%以上的股东，或者持有股份的比例虽然不足50%，但依其持有的股份所享有的表决权已足以对股东大会的决议产生重大影响的股东。</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实际控制人，指虽不是公司的股东，但通过投资关系、协议或者其他安排，能够实际支配公司行为的人。</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上市公司控股子公司，指上市公司持有其50%以上的股份，或者能够决定其董事会半数以上成员的当选，或者通过协议或其他安排能够实际控制的公司。</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上市公司的关联人，指具有下列情形之一的自然人、法人或其他组织：</w:t>
      </w:r>
    </w:p>
    <w:p>
      <w:pPr>
        <w:pStyle w:val="34"/>
        <w:numPr>
          <w:ilvl w:val="0"/>
          <w:numId w:val="63"/>
        </w:numPr>
        <w:tabs>
          <w:tab w:val="left" w:pos="993"/>
          <w:tab w:val="left" w:pos="1560"/>
        </w:tabs>
        <w:spacing w:line="560" w:lineRule="exact"/>
        <w:ind w:left="0" w:firstLine="640"/>
        <w:rPr>
          <w:rFonts w:ascii="仿宋_GB2312"/>
          <w:sz w:val="32"/>
          <w:szCs w:val="32"/>
        </w:rPr>
      </w:pPr>
      <w:r>
        <w:rPr>
          <w:rFonts w:hint="eastAsia" w:ascii="仿宋_GB2312"/>
          <w:sz w:val="32"/>
          <w:szCs w:val="32"/>
        </w:rPr>
        <w:t>直接或者间接控制上市公司的自然人、法人或其他组织；</w:t>
      </w:r>
    </w:p>
    <w:p>
      <w:pPr>
        <w:pStyle w:val="34"/>
        <w:numPr>
          <w:ilvl w:val="0"/>
          <w:numId w:val="63"/>
        </w:numPr>
        <w:tabs>
          <w:tab w:val="left" w:pos="993"/>
          <w:tab w:val="left" w:pos="1560"/>
        </w:tabs>
        <w:spacing w:line="560" w:lineRule="exact"/>
        <w:ind w:left="0" w:firstLine="640"/>
        <w:rPr>
          <w:rFonts w:ascii="仿宋_GB2312"/>
          <w:sz w:val="32"/>
          <w:szCs w:val="32"/>
        </w:rPr>
      </w:pPr>
      <w:r>
        <w:rPr>
          <w:rFonts w:hint="eastAsia" w:ascii="仿宋_GB2312"/>
          <w:sz w:val="32"/>
          <w:szCs w:val="32"/>
        </w:rPr>
        <w:t>直接或间接持有上市公司5%以上股份的自然人；</w:t>
      </w:r>
    </w:p>
    <w:p>
      <w:pPr>
        <w:pStyle w:val="34"/>
        <w:numPr>
          <w:ilvl w:val="0"/>
          <w:numId w:val="63"/>
        </w:numPr>
        <w:tabs>
          <w:tab w:val="left" w:pos="993"/>
          <w:tab w:val="left" w:pos="1560"/>
        </w:tabs>
        <w:spacing w:line="560" w:lineRule="exact"/>
        <w:ind w:left="0" w:firstLine="640"/>
        <w:rPr>
          <w:rFonts w:ascii="仿宋_GB2312"/>
          <w:sz w:val="32"/>
          <w:szCs w:val="32"/>
        </w:rPr>
      </w:pPr>
      <w:r>
        <w:rPr>
          <w:rFonts w:hint="eastAsia" w:ascii="仿宋_GB2312"/>
          <w:sz w:val="32"/>
          <w:szCs w:val="32"/>
        </w:rPr>
        <w:t>上市公司董事、监事或高级管理人员；</w:t>
      </w:r>
    </w:p>
    <w:p>
      <w:pPr>
        <w:pStyle w:val="34"/>
        <w:numPr>
          <w:ilvl w:val="0"/>
          <w:numId w:val="63"/>
        </w:numPr>
        <w:tabs>
          <w:tab w:val="left" w:pos="993"/>
          <w:tab w:val="left" w:pos="1560"/>
        </w:tabs>
        <w:spacing w:line="560" w:lineRule="exact"/>
        <w:ind w:left="0" w:firstLine="640"/>
        <w:rPr>
          <w:rFonts w:ascii="仿宋_GB2312"/>
          <w:sz w:val="32"/>
          <w:szCs w:val="32"/>
        </w:rPr>
      </w:pPr>
      <w:r>
        <w:rPr>
          <w:rFonts w:hint="eastAsia" w:ascii="仿宋_GB2312"/>
          <w:sz w:val="32"/>
          <w:szCs w:val="32"/>
        </w:rPr>
        <w:t>与本项第1目、第2目和第3目所述关联自然人关系密切的家庭成员，包括配偶、年满18周岁的子女及其配偶、父母及配偶的父母、兄弟姐妹及其配偶、配偶的兄弟姐妹、子女配偶的父母；</w:t>
      </w:r>
    </w:p>
    <w:p>
      <w:pPr>
        <w:pStyle w:val="34"/>
        <w:numPr>
          <w:ilvl w:val="0"/>
          <w:numId w:val="63"/>
        </w:numPr>
        <w:tabs>
          <w:tab w:val="left" w:pos="993"/>
          <w:tab w:val="left" w:pos="1560"/>
        </w:tabs>
        <w:spacing w:line="560" w:lineRule="exact"/>
        <w:ind w:left="0" w:firstLine="640"/>
        <w:rPr>
          <w:rFonts w:ascii="仿宋_GB2312"/>
          <w:sz w:val="32"/>
          <w:szCs w:val="32"/>
        </w:rPr>
      </w:pPr>
      <w:r>
        <w:rPr>
          <w:rFonts w:hint="eastAsia" w:ascii="仿宋_GB2312"/>
          <w:sz w:val="32"/>
          <w:szCs w:val="32"/>
        </w:rPr>
        <w:t>直接持有上市公司5%以上股份的法人或其他组织；</w:t>
      </w:r>
    </w:p>
    <w:p>
      <w:pPr>
        <w:pStyle w:val="34"/>
        <w:numPr>
          <w:ilvl w:val="0"/>
          <w:numId w:val="63"/>
        </w:numPr>
        <w:tabs>
          <w:tab w:val="left" w:pos="993"/>
          <w:tab w:val="left" w:pos="1560"/>
        </w:tabs>
        <w:spacing w:line="560" w:lineRule="exact"/>
        <w:ind w:left="0" w:firstLine="640"/>
        <w:rPr>
          <w:rFonts w:ascii="仿宋_GB2312"/>
          <w:sz w:val="32"/>
          <w:szCs w:val="32"/>
        </w:rPr>
      </w:pPr>
      <w:r>
        <w:rPr>
          <w:rFonts w:hint="eastAsia" w:ascii="仿宋_GB2312"/>
          <w:sz w:val="32"/>
          <w:szCs w:val="32"/>
        </w:rPr>
        <w:t>直接或间接控制上市公司的法人或其他组织的董事、监事、高级管理人员或其他主要负责人；</w:t>
      </w:r>
    </w:p>
    <w:p>
      <w:pPr>
        <w:pStyle w:val="34"/>
        <w:numPr>
          <w:ilvl w:val="0"/>
          <w:numId w:val="63"/>
        </w:numPr>
        <w:tabs>
          <w:tab w:val="left" w:pos="993"/>
          <w:tab w:val="left" w:pos="1560"/>
        </w:tabs>
        <w:spacing w:line="560" w:lineRule="exact"/>
        <w:ind w:left="0" w:firstLine="640"/>
        <w:rPr>
          <w:rFonts w:ascii="仿宋_GB2312"/>
          <w:sz w:val="32"/>
          <w:szCs w:val="32"/>
        </w:rPr>
      </w:pPr>
      <w:r>
        <w:rPr>
          <w:rFonts w:hint="eastAsia" w:ascii="仿宋_GB2312"/>
          <w:sz w:val="32"/>
          <w:szCs w:val="32"/>
        </w:rPr>
        <w:t>由本项第1目至第6目所列关联法人或关联自然人直接或者间接控制的，或者由前述关联自然人（独立董事除外）担任董事、高级管理人员的法人或其他组织，但上市公司及其控股子公司除外；</w:t>
      </w:r>
    </w:p>
    <w:p>
      <w:pPr>
        <w:pStyle w:val="34"/>
        <w:numPr>
          <w:ilvl w:val="0"/>
          <w:numId w:val="63"/>
        </w:numPr>
        <w:tabs>
          <w:tab w:val="left" w:pos="993"/>
          <w:tab w:val="left" w:pos="1560"/>
        </w:tabs>
        <w:spacing w:line="560" w:lineRule="exact"/>
        <w:ind w:left="0" w:firstLine="640"/>
        <w:rPr>
          <w:rFonts w:ascii="仿宋_GB2312"/>
          <w:sz w:val="32"/>
          <w:szCs w:val="32"/>
        </w:rPr>
      </w:pPr>
      <w:r>
        <w:rPr>
          <w:rFonts w:hint="eastAsia" w:ascii="仿宋_GB2312"/>
          <w:sz w:val="32"/>
          <w:szCs w:val="32"/>
        </w:rPr>
        <w:t>间接持有上市公司5%以上股份的法人或其他组织；</w:t>
      </w:r>
    </w:p>
    <w:p>
      <w:pPr>
        <w:pStyle w:val="34"/>
        <w:numPr>
          <w:ilvl w:val="0"/>
          <w:numId w:val="63"/>
        </w:numPr>
        <w:tabs>
          <w:tab w:val="left" w:pos="993"/>
          <w:tab w:val="left" w:pos="1560"/>
        </w:tabs>
        <w:spacing w:line="560" w:lineRule="exact"/>
        <w:ind w:left="0" w:firstLine="640"/>
        <w:rPr>
          <w:rFonts w:ascii="仿宋_GB2312"/>
          <w:sz w:val="32"/>
          <w:szCs w:val="32"/>
        </w:rPr>
      </w:pPr>
      <w:r>
        <w:rPr>
          <w:rFonts w:hint="eastAsia" w:ascii="仿宋_GB2312"/>
          <w:sz w:val="32"/>
          <w:szCs w:val="32"/>
        </w:rPr>
        <w:t>中国证监会、本所或者上市公司根据实质重于形式原则认定的其他与上市公司有特殊关系，可能导致上市公司利益对其倾斜的自然人、法人或其他组织。</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在交易发生之日前12个月内，或相关交易协议生效或安排实施后12个月内，具有前述所列情形之一的法人、其他组织或自然人，视同上市公司的关联方。</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市公司与本项第1目所列法人或其他组织直接或间接控制的法人或其他组织受同一国有资产监督管理机构控制的，不因此而形成关联关系，但该法人或其他组织的法定代表人、总经理、负责人或者半数以上董事兼任上市公司董事、监事或者高级管理人员的除外。</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上市公司的关联董事包括下列董事或者具有下列情形之一的董事：</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1.为交易对方；</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2.为交易对方的直接或者间接控制人；</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3.在交易对方任职，或者在能够直接或者间接控制该交易对方的法人或其他组织、该交易对方直接或者间接控制的法人或者其他组织任职；</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4.为与本项第1目和第2目所列自然人关系密切的家庭成员（具体范围参见前项第4目的规定）；</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5.为与本项第1目和第2目所列法人或者组织的董事、监事或高级管理人员关系密切的家庭成员（具体范围参见前项第4目的规定）；</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6.中国证监会、本所或者上市公司基于实质重于形式原则认定的其独立商业判断可能受到影响的董事。</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上市公司的关联股东包括下列股东或者具有下列情形之一的股东：</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1.为交易对方；</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2.为交易对方的直接或者间接控制人；</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3.被交易对方直接或者间接控制；</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4.与交易对方受同一自然人、法人或者其他组织直接或者间接控制；</w:t>
      </w:r>
    </w:p>
    <w:p>
      <w:pPr>
        <w:tabs>
          <w:tab w:val="left" w:pos="1418"/>
        </w:tabs>
        <w:autoSpaceDE w:val="0"/>
        <w:autoSpaceDN w:val="0"/>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5.因与交易对方或者其关联人存在尚未履行完毕的股权转让协议或者其他协议而使其表决权受到限制或影响的股东；</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6.中国证监会或者本所认定的可能造成上市公司利益对其倾斜的股东。</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股权分布不具备上市条件，指社会公众股东持有的股份连续20个交易日低于公司总股本的25%；公司股本总额超过人民币4亿元的，低于公司总股本的10%。</w:t>
      </w:r>
    </w:p>
    <w:p>
      <w:pPr>
        <w:autoSpaceDE w:val="0"/>
        <w:autoSpaceDN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上述社会公众股东指不包括下列股东的上市公司其他股东：</w:t>
      </w:r>
    </w:p>
    <w:p>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1.持有上市公司10%以上股份的股东及其一致行动人；</w:t>
      </w:r>
    </w:p>
    <w:p>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2.上市公司的董事、监事、高级管理人员及其关联人。</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证券服务机构，指为证券发行、上市、交易等证券业务活动制作、出具审计报告、资产评估报告、法律意见书、财务顾问报告、资信评级报告等文件的会计师事务所、资产评估机构、律师事务所、财务顾问机构、资信评级机构。</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净资产，指归属于母公司所有者的期末净资产，不包括少数股东权益金额。</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净利润，指归属于母公司所有者的净利润，不包括少数股东损益金额。</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每股收益，指根据中国证监会有关规定计算的基本每股收益。</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净资产收益率，指根据中国证监会有关规定计算的全面摊薄净资产收益率。</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回购股份，指上市公司收购本公司发行的股份。</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破产程序，指《企业破产法》所规范的重整、和解或破产清算程序。</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破产管理人管理或监督运作模式，指根据《企业破产法》，经法院裁定由破产</w:t>
      </w:r>
      <w:r>
        <w:rPr>
          <w:rFonts w:ascii="仿宋_GB2312" w:hAnsi="宋体"/>
          <w:sz w:val="32"/>
          <w:szCs w:val="32"/>
        </w:rPr>
        <w:t>管理人负责管理</w:t>
      </w:r>
      <w:r>
        <w:rPr>
          <w:rFonts w:hint="eastAsia" w:ascii="仿宋_GB2312" w:hAnsi="宋体"/>
          <w:sz w:val="32"/>
          <w:szCs w:val="32"/>
        </w:rPr>
        <w:t>上市公司</w:t>
      </w:r>
      <w:r>
        <w:rPr>
          <w:rFonts w:ascii="仿宋_GB2312" w:hAnsi="宋体"/>
          <w:sz w:val="32"/>
          <w:szCs w:val="32"/>
        </w:rPr>
        <w:t>财产和营业事务的</w:t>
      </w:r>
      <w:r>
        <w:rPr>
          <w:rFonts w:hint="eastAsia" w:ascii="仿宋_GB2312" w:hAnsi="宋体"/>
          <w:sz w:val="32"/>
          <w:szCs w:val="32"/>
        </w:rPr>
        <w:t>运作模式或者由公司</w:t>
      </w:r>
      <w:r>
        <w:rPr>
          <w:rFonts w:ascii="仿宋_GB2312" w:hAnsi="宋体"/>
          <w:sz w:val="32"/>
          <w:szCs w:val="32"/>
        </w:rPr>
        <w:t>在</w:t>
      </w:r>
      <w:r>
        <w:rPr>
          <w:rFonts w:hint="eastAsia" w:ascii="仿宋_GB2312" w:hAnsi="宋体"/>
          <w:sz w:val="32"/>
          <w:szCs w:val="32"/>
        </w:rPr>
        <w:t>破产</w:t>
      </w:r>
      <w:r>
        <w:rPr>
          <w:rFonts w:ascii="仿宋_GB2312" w:hAnsi="宋体"/>
          <w:sz w:val="32"/>
          <w:szCs w:val="32"/>
        </w:rPr>
        <w:t>管理人的监督下自行管理</w:t>
      </w:r>
      <w:r>
        <w:rPr>
          <w:rFonts w:hint="eastAsia" w:ascii="仿宋_GB2312" w:hAnsi="宋体"/>
          <w:sz w:val="32"/>
          <w:szCs w:val="32"/>
        </w:rPr>
        <w:t>公司</w:t>
      </w:r>
      <w:r>
        <w:rPr>
          <w:rFonts w:ascii="仿宋_GB2312" w:hAnsi="宋体"/>
          <w:sz w:val="32"/>
          <w:szCs w:val="32"/>
        </w:rPr>
        <w:t>财产和营业事务</w:t>
      </w:r>
      <w:r>
        <w:rPr>
          <w:rFonts w:hint="eastAsia" w:ascii="仿宋_GB2312" w:hAnsi="宋体"/>
          <w:sz w:val="32"/>
          <w:szCs w:val="32"/>
        </w:rPr>
        <w:t>的运作模式。</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追溯重述，指因财务会计报告存在重大会计差错或者虚假记载，公司主动改正或者被中国证监会责令改正后，对此前披露的年度财务会计报告进行的调整。</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公司股票停牌日，指本所对公司股票全天予以停牌的交易日。</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元</w:t>
      </w:r>
      <w:r>
        <w:rPr>
          <w:rFonts w:ascii="仿宋_GB2312" w:hAnsi="宋体"/>
          <w:sz w:val="32"/>
          <w:szCs w:val="32"/>
        </w:rPr>
        <w:t>，如无特指</w:t>
      </w:r>
      <w:r>
        <w:rPr>
          <w:rFonts w:hint="eastAsia" w:ascii="仿宋_GB2312" w:hAnsi="宋体"/>
          <w:sz w:val="32"/>
          <w:szCs w:val="32"/>
        </w:rPr>
        <w:t>或者本所</w:t>
      </w:r>
      <w:r>
        <w:rPr>
          <w:rFonts w:ascii="仿宋_GB2312" w:hAnsi="宋体"/>
          <w:sz w:val="32"/>
          <w:szCs w:val="32"/>
        </w:rPr>
        <w:t>特别</w:t>
      </w:r>
      <w:r>
        <w:rPr>
          <w:rFonts w:hint="eastAsia" w:ascii="仿宋_GB2312" w:hAnsi="宋体"/>
          <w:sz w:val="32"/>
          <w:szCs w:val="32"/>
        </w:rPr>
        <w:t>规定</w:t>
      </w:r>
      <w:r>
        <w:rPr>
          <w:rFonts w:ascii="仿宋_GB2312" w:hAnsi="宋体"/>
          <w:sz w:val="32"/>
          <w:szCs w:val="32"/>
        </w:rPr>
        <w:t>的，均</w:t>
      </w:r>
      <w:r>
        <w:rPr>
          <w:rFonts w:hint="eastAsia" w:ascii="仿宋_GB2312" w:hAnsi="宋体"/>
          <w:sz w:val="32"/>
          <w:szCs w:val="32"/>
        </w:rPr>
        <w:t>指</w:t>
      </w:r>
      <w:r>
        <w:rPr>
          <w:rFonts w:ascii="仿宋_GB2312" w:hAnsi="宋体"/>
          <w:sz w:val="32"/>
          <w:szCs w:val="32"/>
        </w:rPr>
        <w:t>人</w:t>
      </w:r>
      <w:r>
        <w:rPr>
          <w:rFonts w:hint="eastAsia" w:ascii="仿宋_GB2312" w:hAnsi="宋体"/>
          <w:sz w:val="32"/>
          <w:szCs w:val="32"/>
        </w:rPr>
        <w:t>民</w:t>
      </w:r>
      <w:r>
        <w:rPr>
          <w:rFonts w:ascii="仿宋_GB2312" w:hAnsi="宋体"/>
          <w:sz w:val="32"/>
          <w:szCs w:val="32"/>
        </w:rPr>
        <w:t>币元。</w:t>
      </w:r>
    </w:p>
    <w:p>
      <w:pPr>
        <w:pStyle w:val="34"/>
        <w:numPr>
          <w:ilvl w:val="3"/>
          <w:numId w:val="62"/>
        </w:numPr>
        <w:tabs>
          <w:tab w:val="left" w:pos="1560"/>
        </w:tabs>
        <w:snapToGrid w:val="0"/>
        <w:spacing w:line="560" w:lineRule="exact"/>
        <w:ind w:left="0" w:firstLine="640"/>
        <w:rPr>
          <w:rFonts w:ascii="仿宋_GB2312" w:hAnsi="宋体"/>
          <w:sz w:val="32"/>
          <w:szCs w:val="32"/>
        </w:rPr>
      </w:pPr>
      <w:r>
        <w:rPr>
          <w:rFonts w:hint="eastAsia" w:ascii="仿宋_GB2312" w:hAnsi="宋体"/>
          <w:sz w:val="32"/>
          <w:szCs w:val="32"/>
        </w:rPr>
        <w:t>本规则所称以上、以内含本数，超过、少于、低于、以下不含本数。</w:t>
      </w:r>
    </w:p>
    <w:p>
      <w:pPr>
        <w:tabs>
          <w:tab w:val="left" w:pos="156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本规则未定义的用语的含义，依照有关法律法规和本所有关业务规则确定。</w:t>
      </w:r>
    </w:p>
    <w:p>
      <w:pPr>
        <w:tabs>
          <w:tab w:val="left" w:pos="1560"/>
        </w:tabs>
        <w:snapToGrid w:val="0"/>
        <w:spacing w:line="560" w:lineRule="exact"/>
        <w:ind w:firstLine="640" w:firstLineChars="200"/>
        <w:rPr>
          <w:rFonts w:ascii="仿宋_GB2312" w:hAnsi="宋体" w:eastAsia="仿宋_GB2312"/>
          <w:sz w:val="32"/>
          <w:szCs w:val="32"/>
        </w:rPr>
      </w:pPr>
    </w:p>
    <w:p>
      <w:pPr>
        <w:pStyle w:val="79"/>
        <w:ind w:firstLine="643"/>
        <w:rPr>
          <w:b/>
        </w:rPr>
      </w:pPr>
      <w:bookmarkStart w:id="1038" w:name="_Toc7080"/>
      <w:r>
        <w:rPr>
          <w:rFonts w:hint="eastAsia"/>
          <w:b/>
        </w:rPr>
        <w:t>附</w:t>
      </w:r>
      <w:r>
        <w:rPr>
          <w:b/>
        </w:rPr>
        <w:t xml:space="preserve">  </w:t>
      </w:r>
      <w:r>
        <w:rPr>
          <w:rFonts w:hint="eastAsia"/>
          <w:b/>
        </w:rPr>
        <w:t>则</w:t>
      </w:r>
      <w:bookmarkEnd w:id="1038"/>
    </w:p>
    <w:p>
      <w:pPr>
        <w:numPr>
          <w:ilvl w:val="2"/>
          <w:numId w:val="64"/>
        </w:numPr>
        <w:tabs>
          <w:tab w:val="left" w:pos="0"/>
          <w:tab w:val="left" w:pos="1560"/>
          <w:tab w:val="clear" w:pos="1418"/>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存托凭证、可转换公司债券、股票或者存托凭证衍生品的上市和持续监管等事宜参照适用本规则关于股票的有关规定，本</w:t>
      </w:r>
      <w:r>
        <w:rPr>
          <w:rFonts w:ascii="仿宋_GB2312" w:hAnsi="宋体" w:eastAsia="仿宋_GB2312"/>
          <w:sz w:val="32"/>
          <w:szCs w:val="32"/>
        </w:rPr>
        <w:t>规则未作规定的，适用本所其他有关规定</w:t>
      </w:r>
      <w:r>
        <w:rPr>
          <w:rFonts w:hint="eastAsia" w:ascii="仿宋_GB2312" w:hAnsi="宋体" w:eastAsia="仿宋_GB2312"/>
          <w:sz w:val="32"/>
          <w:szCs w:val="32"/>
        </w:rPr>
        <w:t>。</w:t>
      </w:r>
    </w:p>
    <w:p>
      <w:pPr>
        <w:numPr>
          <w:ilvl w:val="2"/>
          <w:numId w:val="64"/>
        </w:numPr>
        <w:tabs>
          <w:tab w:val="left" w:pos="0"/>
          <w:tab w:val="left" w:pos="1560"/>
          <w:tab w:val="clear" w:pos="1418"/>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本规则经本所理事会审议通过并报中国证监会批准后生效，修订时亦同。</w:t>
      </w:r>
    </w:p>
    <w:p>
      <w:pPr>
        <w:numPr>
          <w:ilvl w:val="2"/>
          <w:numId w:val="64"/>
        </w:numPr>
        <w:tabs>
          <w:tab w:val="left" w:pos="1560"/>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本规则由本所负责解释。</w:t>
      </w:r>
    </w:p>
    <w:p>
      <w:pPr>
        <w:numPr>
          <w:ilvl w:val="2"/>
          <w:numId w:val="64"/>
        </w:numPr>
        <w:tabs>
          <w:tab w:val="left" w:pos="1560"/>
        </w:tabs>
        <w:snapToGrid w:val="0"/>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本规则自发布之日起施行。</w:t>
      </w:r>
      <w:r>
        <w:rPr>
          <w:rFonts w:ascii="仿宋_GB2312" w:hAnsi="宋体" w:eastAsia="仿宋_GB2312"/>
          <w:sz w:val="32"/>
          <w:szCs w:val="32"/>
        </w:rPr>
        <w:t>上市公司董事会及其专门委员会的设置、独立董事专门会议机制等事项与本规则不一致的，应当</w:t>
      </w:r>
      <w:r>
        <w:rPr>
          <w:rFonts w:hint="eastAsia" w:ascii="仿宋_GB2312" w:hAnsi="宋体" w:eastAsia="仿宋_GB2312"/>
          <w:sz w:val="32"/>
          <w:szCs w:val="32"/>
        </w:rPr>
        <w:t>于</w:t>
      </w:r>
      <w:r>
        <w:rPr>
          <w:rFonts w:ascii="仿宋_GB2312" w:hAnsi="宋体" w:eastAsia="仿宋_GB2312"/>
          <w:sz w:val="32"/>
          <w:szCs w:val="32"/>
        </w:rPr>
        <w:t>2024年9月4日前逐步调整至符合本规则的规定。</w:t>
      </w:r>
    </w:p>
    <w:p>
      <w:pPr>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6"/>
        <w:rFonts w:ascii="Times New Roman" w:hAnsi="Times New Roman" w:eastAsia="仿宋_GB2312"/>
        <w:sz w:val="24"/>
        <w:szCs w:val="24"/>
      </w:rPr>
    </w:pPr>
    <w:r>
      <w:rPr>
        <w:rStyle w:val="26"/>
        <w:rFonts w:ascii="Times New Roman" w:hAnsi="Times New Roman" w:eastAsia="仿宋_GB2312"/>
        <w:sz w:val="24"/>
        <w:szCs w:val="24"/>
      </w:rPr>
      <w:fldChar w:fldCharType="begin"/>
    </w:r>
    <w:r>
      <w:rPr>
        <w:rStyle w:val="26"/>
        <w:rFonts w:ascii="Times New Roman" w:hAnsi="Times New Roman" w:eastAsia="仿宋_GB2312"/>
        <w:sz w:val="24"/>
        <w:szCs w:val="24"/>
      </w:rPr>
      <w:instrText xml:space="preserve">PAGE  </w:instrText>
    </w:r>
    <w:r>
      <w:rPr>
        <w:rStyle w:val="26"/>
        <w:rFonts w:ascii="Times New Roman" w:hAnsi="Times New Roman" w:eastAsia="仿宋_GB2312"/>
        <w:sz w:val="24"/>
        <w:szCs w:val="24"/>
      </w:rPr>
      <w:fldChar w:fldCharType="separate"/>
    </w:r>
    <w:r>
      <w:rPr>
        <w:rStyle w:val="26"/>
        <w:rFonts w:ascii="Times New Roman" w:hAnsi="Times New Roman" w:eastAsia="仿宋_GB2312"/>
        <w:sz w:val="24"/>
        <w:szCs w:val="24"/>
      </w:rPr>
      <w:t>29</w:t>
    </w:r>
    <w:r>
      <w:rPr>
        <w:rStyle w:val="26"/>
        <w:rFonts w:ascii="Times New Roman" w:hAnsi="Times New Roman" w:eastAsia="仿宋_GB2312"/>
        <w:sz w:val="24"/>
        <w:szCs w:val="24"/>
      </w:rPr>
      <w:fldChar w:fldCharType="end"/>
    </w:r>
  </w:p>
  <w:p>
    <w:pPr>
      <w:pStyle w:val="13"/>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4</w:t>
    </w:r>
    <w:r>
      <w:rPr>
        <w:rStyle w:val="26"/>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654B4"/>
    <w:multiLevelType w:val="multilevel"/>
    <w:tmpl w:val="EDA654B4"/>
    <w:lvl w:ilvl="0" w:tentative="0">
      <w:start w:val="1"/>
      <w:numFmt w:val="decimal"/>
      <w:lvlText w:val="12.10.%1"/>
      <w:lvlJc w:val="left"/>
      <w:pPr>
        <w:ind w:left="640" w:hanging="420"/>
      </w:pPr>
      <w:rPr>
        <w:rFonts w:hint="eastAsia" w:ascii="仿宋_GB2312" w:eastAsia="仿宋_GB2312" w:cs="仿宋_GB2312"/>
        <w:sz w:val="32"/>
      </w:rPr>
    </w:lvl>
    <w:lvl w:ilvl="1" w:tentative="0">
      <w:start w:val="1"/>
      <w:numFmt w:val="lowerLetter"/>
      <w:lvlText w:val="%2)"/>
      <w:lvlJc w:val="left"/>
      <w:pPr>
        <w:ind w:left="1060" w:hanging="420"/>
      </w:pPr>
      <w:rPr>
        <w:rFonts w:hint="eastAsia"/>
      </w:rPr>
    </w:lvl>
    <w:lvl w:ilvl="2" w:tentative="0">
      <w:start w:val="1"/>
      <w:numFmt w:val="lowerRoman"/>
      <w:lvlText w:val="%3."/>
      <w:lvlJc w:val="right"/>
      <w:pPr>
        <w:ind w:left="1480" w:hanging="420"/>
      </w:pPr>
      <w:rPr>
        <w:rFonts w:hint="eastAsia"/>
      </w:rPr>
    </w:lvl>
    <w:lvl w:ilvl="3" w:tentative="0">
      <w:start w:val="1"/>
      <w:numFmt w:val="decimal"/>
      <w:lvlText w:val="%4."/>
      <w:lvlJc w:val="left"/>
      <w:pPr>
        <w:ind w:left="1900" w:hanging="420"/>
      </w:pPr>
      <w:rPr>
        <w:rFonts w:hint="eastAsia"/>
      </w:rPr>
    </w:lvl>
    <w:lvl w:ilvl="4" w:tentative="0">
      <w:start w:val="1"/>
      <w:numFmt w:val="lowerLetter"/>
      <w:lvlText w:val="%5)"/>
      <w:lvlJc w:val="left"/>
      <w:pPr>
        <w:ind w:left="2320" w:hanging="420"/>
      </w:pPr>
      <w:rPr>
        <w:rFonts w:hint="eastAsia"/>
      </w:rPr>
    </w:lvl>
    <w:lvl w:ilvl="5" w:tentative="0">
      <w:start w:val="1"/>
      <w:numFmt w:val="lowerRoman"/>
      <w:lvlText w:val="%6."/>
      <w:lvlJc w:val="right"/>
      <w:pPr>
        <w:ind w:left="2740" w:hanging="420"/>
      </w:pPr>
      <w:rPr>
        <w:rFonts w:hint="eastAsia"/>
      </w:rPr>
    </w:lvl>
    <w:lvl w:ilvl="6" w:tentative="0">
      <w:start w:val="1"/>
      <w:numFmt w:val="decimal"/>
      <w:lvlText w:val="%7."/>
      <w:lvlJc w:val="left"/>
      <w:pPr>
        <w:ind w:left="3160" w:hanging="420"/>
      </w:pPr>
      <w:rPr>
        <w:rFonts w:hint="eastAsia"/>
      </w:rPr>
    </w:lvl>
    <w:lvl w:ilvl="7" w:tentative="0">
      <w:start w:val="1"/>
      <w:numFmt w:val="lowerLetter"/>
      <w:lvlText w:val="%8)"/>
      <w:lvlJc w:val="left"/>
      <w:pPr>
        <w:ind w:left="3580" w:hanging="420"/>
      </w:pPr>
      <w:rPr>
        <w:rFonts w:hint="eastAsia"/>
      </w:rPr>
    </w:lvl>
    <w:lvl w:ilvl="8" w:tentative="0">
      <w:start w:val="1"/>
      <w:numFmt w:val="lowerRoman"/>
      <w:lvlText w:val="%9."/>
      <w:lvlJc w:val="right"/>
      <w:pPr>
        <w:ind w:left="4000" w:hanging="420"/>
      </w:pPr>
      <w:rPr>
        <w:rFonts w:hint="eastAsia"/>
      </w:rPr>
    </w:lvl>
  </w:abstractNum>
  <w:abstractNum w:abstractNumId="1">
    <w:nsid w:val="00B4319F"/>
    <w:multiLevelType w:val="multilevel"/>
    <w:tmpl w:val="00B4319F"/>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1.%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171ED09"/>
    <w:multiLevelType w:val="singleLevel"/>
    <w:tmpl w:val="0171ED09"/>
    <w:lvl w:ilvl="0" w:tentative="0">
      <w:start w:val="9"/>
      <w:numFmt w:val="chineseCounting"/>
      <w:suff w:val="space"/>
      <w:lvlText w:val="第%1节"/>
      <w:lvlJc w:val="left"/>
      <w:rPr>
        <w:rFonts w:hint="eastAsia"/>
      </w:rPr>
    </w:lvl>
  </w:abstractNum>
  <w:abstractNum w:abstractNumId="3">
    <w:nsid w:val="01D5083E"/>
    <w:multiLevelType w:val="multilevel"/>
    <w:tmpl w:val="01D5083E"/>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9.3.%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3365CA5"/>
    <w:multiLevelType w:val="multilevel"/>
    <w:tmpl w:val="03365CA5"/>
    <w:lvl w:ilvl="0" w:tentative="0">
      <w:start w:val="2"/>
      <w:numFmt w:val="decimal"/>
      <w:lvlText w:val="%1"/>
      <w:lvlJc w:val="left"/>
      <w:pPr>
        <w:tabs>
          <w:tab w:val="left" w:pos="425"/>
        </w:tabs>
        <w:ind w:left="425" w:hanging="425"/>
      </w:pPr>
      <w:rPr>
        <w:rFonts w:hint="eastAsia"/>
      </w:rPr>
    </w:lvl>
    <w:lvl w:ilvl="1" w:tentative="0">
      <w:start w:val="1"/>
      <w:numFmt w:val="decimal"/>
      <w:lvlText w:val="5.2.%2"/>
      <w:lvlJc w:val="left"/>
      <w:pPr>
        <w:tabs>
          <w:tab w:val="left" w:pos="992"/>
        </w:tabs>
        <w:ind w:left="992" w:hanging="567"/>
      </w:pPr>
      <w:rPr>
        <w:rFonts w:hint="eastAsia" w:ascii="仿宋_GB2312" w:eastAsia="仿宋_GB2312"/>
        <w:b w:val="0"/>
        <w:i w:val="0"/>
        <w:color w:val="auto"/>
        <w:sz w:val="32"/>
        <w:szCs w:val="32"/>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4FD1334"/>
    <w:multiLevelType w:val="multilevel"/>
    <w:tmpl w:val="04FD1334"/>
    <w:lvl w:ilvl="0" w:tentative="0">
      <w:start w:val="1"/>
      <w:numFmt w:val="japaneseCounting"/>
      <w:lvlText w:val="（%1）"/>
      <w:lvlJc w:val="left"/>
      <w:pPr>
        <w:ind w:left="1680" w:hanging="1080"/>
      </w:pPr>
      <w:rPr>
        <w:rFonts w:hint="default"/>
        <w:lang w:val="en-US"/>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
    <w:nsid w:val="057E59E7"/>
    <w:multiLevelType w:val="multilevel"/>
    <w:tmpl w:val="057E59E7"/>
    <w:lvl w:ilvl="0" w:tentative="0">
      <w:start w:val="1"/>
      <w:numFmt w:val="chineseCountingThousand"/>
      <w:pStyle w:val="3"/>
      <w:lvlText w:val="第%1章"/>
      <w:lvlJc w:val="center"/>
      <w:pPr>
        <w:tabs>
          <w:tab w:val="left" w:pos="142"/>
        </w:tabs>
        <w:ind w:left="142" w:firstLine="0"/>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chineseCountingThousand"/>
      <w:pStyle w:val="4"/>
      <w:lvlText w:val="第%2节"/>
      <w:lvlJc w:val="center"/>
      <w:pPr>
        <w:tabs>
          <w:tab w:val="left" w:pos="5671"/>
        </w:tabs>
        <w:ind w:left="5671" w:firstLine="0"/>
      </w:pPr>
      <w:rPr>
        <w:rFonts w:ascii="Times New Roman" w:hAnsi="Times New Roman" w:cs="Times New Roman"/>
        <w:b/>
        <w:bCs w:val="0"/>
        <w:i w:val="0"/>
        <w:iCs w:val="0"/>
        <w:caps w:val="0"/>
        <w:smallCaps w:val="0"/>
        <w:strike w:val="0"/>
        <w:dstrike w:val="0"/>
        <w:vanish w:val="0"/>
        <w:spacing w:val="0"/>
        <w:position w:val="0"/>
        <w:u w:val="none"/>
        <w:vertAlign w:val="baseline"/>
      </w:rPr>
    </w:lvl>
    <w:lvl w:ilvl="2" w:tentative="0">
      <w:start w:val="1"/>
      <w:numFmt w:val="lowerRoman"/>
      <w:lvlText w:val="%3."/>
      <w:lvlJc w:val="right"/>
      <w:pPr>
        <w:tabs>
          <w:tab w:val="left" w:pos="1260"/>
        </w:tabs>
        <w:ind w:left="1260" w:hanging="420"/>
      </w:pPr>
    </w:lvl>
    <w:lvl w:ilvl="3" w:tentative="0">
      <w:start w:val="1"/>
      <w:numFmt w:val="japaneseCounting"/>
      <w:lvlText w:val="（%4）"/>
      <w:lvlJc w:val="left"/>
      <w:pPr>
        <w:tabs>
          <w:tab w:val="left" w:pos="1980"/>
        </w:tabs>
        <w:ind w:left="1980" w:hanging="720"/>
      </w:pPr>
      <w:rPr>
        <w:rFonts w:hint="eastAsia"/>
        <w:lang w:val="en-US"/>
      </w:rPr>
    </w:lvl>
    <w:lvl w:ilvl="4" w:tentative="0">
      <w:start w:val="3"/>
      <w:numFmt w:val="japaneseCounting"/>
      <w:lvlText w:val="第%5节"/>
      <w:lvlJc w:val="left"/>
      <w:pPr>
        <w:ind w:left="2760" w:hanging="108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6EB1F40"/>
    <w:multiLevelType w:val="multilevel"/>
    <w:tmpl w:val="06EB1F40"/>
    <w:lvl w:ilvl="0" w:tentative="0">
      <w:start w:val="1"/>
      <w:numFmt w:val="chineseCountingThousand"/>
      <w:lvlText w:val="（%1）"/>
      <w:lvlJc w:val="left"/>
      <w:pPr>
        <w:ind w:left="232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083D3A70"/>
    <w:multiLevelType w:val="multilevel"/>
    <w:tmpl w:val="083D3A70"/>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2.2.%3"/>
      <w:lvlJc w:val="left"/>
      <w:pPr>
        <w:tabs>
          <w:tab w:val="left" w:pos="1844"/>
        </w:tabs>
        <w:ind w:left="1844" w:hanging="567"/>
      </w:pPr>
      <w:rPr>
        <w:rFonts w:hint="eastAsia"/>
        <w:i w:val="0"/>
        <w:sz w:val="32"/>
        <w:szCs w:val="32"/>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ACE355A"/>
    <w:multiLevelType w:val="multilevel"/>
    <w:tmpl w:val="0ACE355A"/>
    <w:lvl w:ilvl="0" w:tentative="0">
      <w:start w:val="1"/>
      <w:numFmt w:val="decimal"/>
      <w:lvlText w:val="6.1.%1"/>
      <w:lvlJc w:val="left"/>
      <w:pPr>
        <w:ind w:left="1555" w:hanging="420"/>
      </w:pPr>
      <w:rPr>
        <w:rFonts w:hint="eastAsia"/>
        <w:sz w:val="32"/>
        <w:szCs w:val="32"/>
      </w:r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10">
    <w:nsid w:val="0AF22042"/>
    <w:multiLevelType w:val="multilevel"/>
    <w:tmpl w:val="0AF2204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9.2.%3"/>
      <w:lvlJc w:val="left"/>
      <w:pPr>
        <w:tabs>
          <w:tab w:val="left" w:pos="709"/>
        </w:tabs>
        <w:ind w:left="709" w:hanging="709"/>
      </w:pPr>
      <w:rPr>
        <w:rFonts w:hint="eastAsia"/>
        <w:b w:val="0"/>
        <w:i w:val="0"/>
        <w:sz w:val="32"/>
        <w:szCs w:val="32"/>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B212E02"/>
    <w:multiLevelType w:val="multilevel"/>
    <w:tmpl w:val="0B212E02"/>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4.5.%3"/>
      <w:lvlJc w:val="left"/>
      <w:pPr>
        <w:tabs>
          <w:tab w:val="left" w:pos="1418"/>
        </w:tabs>
        <w:ind w:left="1418" w:hanging="567"/>
      </w:pPr>
      <w:rPr>
        <w:rFonts w:hint="eastAsia" w:ascii="仿宋_GB2312" w:eastAsia="仿宋_GB2312"/>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0B322206"/>
    <w:multiLevelType w:val="multilevel"/>
    <w:tmpl w:val="0B322206"/>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2.3.%3"/>
      <w:lvlJc w:val="left"/>
      <w:pPr>
        <w:tabs>
          <w:tab w:val="left" w:pos="1418"/>
        </w:tabs>
        <w:ind w:left="1418" w:hanging="567"/>
      </w:pPr>
      <w:rPr>
        <w:rFonts w:hint="eastAsia"/>
        <w:color w:val="000000"/>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0C4553E6"/>
    <w:multiLevelType w:val="multilevel"/>
    <w:tmpl w:val="0C4553E6"/>
    <w:lvl w:ilvl="0" w:tentative="0">
      <w:start w:val="1"/>
      <w:numFmt w:val="chineseCountingThousand"/>
      <w:lvlText w:val="（%1）"/>
      <w:lvlJc w:val="left"/>
      <w:pPr>
        <w:ind w:left="2320" w:hanging="420"/>
      </w:pPr>
      <w:rPr>
        <w:rFonts w:hint="eastAsia"/>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4">
    <w:nsid w:val="0FF601E7"/>
    <w:multiLevelType w:val="multilevel"/>
    <w:tmpl w:val="0FF601E7"/>
    <w:lvl w:ilvl="0" w:tentative="0">
      <w:start w:val="1"/>
      <w:numFmt w:val="japa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2113D12"/>
    <w:multiLevelType w:val="multilevel"/>
    <w:tmpl w:val="12113D12"/>
    <w:lvl w:ilvl="0" w:tentative="0">
      <w:start w:val="1"/>
      <w:numFmt w:val="decimal"/>
      <w:lvlText w:val="12.7.%1"/>
      <w:lvlJc w:val="left"/>
      <w:pPr>
        <w:ind w:left="56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34A2A79"/>
    <w:multiLevelType w:val="multilevel"/>
    <w:tmpl w:val="134A2A79"/>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2.4.%3"/>
      <w:lvlJc w:val="left"/>
      <w:pPr>
        <w:tabs>
          <w:tab w:val="left" w:pos="1713"/>
        </w:tabs>
        <w:ind w:left="1713" w:hanging="720"/>
      </w:pPr>
      <w:rPr>
        <w:rFonts w:hint="eastAsia" w:ascii="仿宋_GB2312" w:eastAsia="仿宋_GB2312"/>
        <w:b w:val="0"/>
        <w:i w:val="0"/>
        <w:sz w:val="32"/>
        <w:szCs w:val="32"/>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7">
    <w:nsid w:val="177C206F"/>
    <w:multiLevelType w:val="multilevel"/>
    <w:tmpl w:val="177C206F"/>
    <w:lvl w:ilvl="0" w:tentative="0">
      <w:start w:val="1"/>
      <w:numFmt w:val="decimal"/>
      <w:lvlText w:val="7.2.%1"/>
      <w:lvlJc w:val="left"/>
      <w:pPr>
        <w:ind w:left="420" w:hanging="420"/>
      </w:pPr>
      <w:rPr>
        <w:rFonts w:hint="eastAsia" w:ascii="仿宋_GB2312" w:eastAsia="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A950547"/>
    <w:multiLevelType w:val="multilevel"/>
    <w:tmpl w:val="1A950547"/>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2.3.%3"/>
      <w:lvlJc w:val="left"/>
      <w:pPr>
        <w:tabs>
          <w:tab w:val="left" w:pos="720"/>
        </w:tabs>
        <w:ind w:left="720" w:hanging="720"/>
      </w:pPr>
      <w:rPr>
        <w:rFonts w:hint="eastAsia"/>
        <w:b w:val="0"/>
        <w:i w:val="0"/>
        <w:sz w:val="32"/>
        <w:szCs w:val="32"/>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9">
    <w:nsid w:val="1AF5541C"/>
    <w:multiLevelType w:val="multilevel"/>
    <w:tmpl w:val="1AF5541C"/>
    <w:lvl w:ilvl="0" w:tentative="0">
      <w:start w:val="2"/>
      <w:numFmt w:val="decimal"/>
      <w:lvlText w:val="%1"/>
      <w:lvlJc w:val="left"/>
      <w:pPr>
        <w:tabs>
          <w:tab w:val="left" w:pos="425"/>
        </w:tabs>
        <w:ind w:left="425" w:hanging="425"/>
      </w:pPr>
      <w:rPr>
        <w:rFonts w:hint="eastAsia"/>
      </w:rPr>
    </w:lvl>
    <w:lvl w:ilvl="1" w:tentative="0">
      <w:start w:val="1"/>
      <w:numFmt w:val="decimal"/>
      <w:lvlText w:val="5.3.%2"/>
      <w:lvlJc w:val="left"/>
      <w:pPr>
        <w:tabs>
          <w:tab w:val="left" w:pos="992"/>
        </w:tabs>
        <w:ind w:left="992" w:hanging="567"/>
      </w:pPr>
      <w:rPr>
        <w:rFonts w:hint="eastAsia"/>
        <w:b w:val="0"/>
        <w:i w:val="0"/>
        <w:color w:val="auto"/>
        <w:sz w:val="32"/>
        <w:szCs w:val="32"/>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1C761417"/>
    <w:multiLevelType w:val="multilevel"/>
    <w:tmpl w:val="1C761417"/>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2.6.%3"/>
      <w:lvlJc w:val="left"/>
      <w:pPr>
        <w:tabs>
          <w:tab w:val="left" w:pos="1418"/>
        </w:tabs>
        <w:ind w:left="1418" w:hanging="567"/>
      </w:pPr>
      <w:rPr>
        <w:rFonts w:hint="eastAsia" w:ascii="仿宋_GB2312" w:eastAsia="仿宋_GB2312"/>
        <w:sz w:val="32"/>
        <w:szCs w:val="32"/>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1FCE523A"/>
    <w:multiLevelType w:val="multilevel"/>
    <w:tmpl w:val="1FCE523A"/>
    <w:lvl w:ilvl="0" w:tentative="0">
      <w:start w:val="1"/>
      <w:numFmt w:val="decimal"/>
      <w:lvlText w:val="%1"/>
      <w:lvlJc w:val="left"/>
      <w:pPr>
        <w:tabs>
          <w:tab w:val="left" w:pos="425"/>
        </w:tabs>
        <w:ind w:left="425" w:hanging="425"/>
      </w:pPr>
      <w:rPr>
        <w:rFonts w:hint="eastAsia"/>
      </w:rPr>
    </w:lvl>
    <w:lvl w:ilvl="1" w:tentative="0">
      <w:start w:val="1"/>
      <w:numFmt w:val="none"/>
      <w:lvlText w:val="6.1"/>
      <w:lvlJc w:val="left"/>
      <w:pPr>
        <w:tabs>
          <w:tab w:val="left" w:pos="992"/>
        </w:tabs>
        <w:ind w:left="992" w:hanging="567"/>
      </w:pPr>
      <w:rPr>
        <w:rFonts w:hint="default" w:ascii="Times New Roman" w:hAnsi="Times New Roman"/>
        <w:b w:val="0"/>
        <w:i w:val="0"/>
        <w:sz w:val="24"/>
      </w:rPr>
    </w:lvl>
    <w:lvl w:ilvl="2" w:tentative="0">
      <w:start w:val="1"/>
      <w:numFmt w:val="decimal"/>
      <w:lvlText w:val="7.1.%3"/>
      <w:lvlJc w:val="left"/>
      <w:pPr>
        <w:tabs>
          <w:tab w:val="left" w:pos="1107"/>
        </w:tabs>
        <w:ind w:left="1107" w:hanging="567"/>
      </w:pPr>
      <w:rPr>
        <w:rFonts w:hint="eastAsia" w:ascii="仿宋_GB2312" w:eastAsia="仿宋_GB2312"/>
        <w:b w:val="0"/>
        <w:i w:val="0"/>
        <w:sz w:val="32"/>
        <w:szCs w:val="32"/>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202C7AB5"/>
    <w:multiLevelType w:val="multilevel"/>
    <w:tmpl w:val="202C7AB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6.2.%3"/>
      <w:lvlJc w:val="left"/>
      <w:pPr>
        <w:tabs>
          <w:tab w:val="left" w:pos="709"/>
        </w:tabs>
        <w:ind w:left="709" w:hanging="709"/>
      </w:pPr>
      <w:rPr>
        <w:rFonts w:hint="eastAsia"/>
        <w:b w:val="0"/>
        <w:i w:val="0"/>
        <w:sz w:val="32"/>
        <w:szCs w:val="32"/>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24586C89"/>
    <w:multiLevelType w:val="multilevel"/>
    <w:tmpl w:val="24586C89"/>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2.4.%3"/>
      <w:lvlJc w:val="left"/>
      <w:pPr>
        <w:tabs>
          <w:tab w:val="left" w:pos="1418"/>
        </w:tabs>
        <w:ind w:left="1418" w:hanging="567"/>
      </w:pPr>
      <w:rPr>
        <w:rFonts w:hint="eastAsia" w:ascii="仿宋_GB2312" w:eastAsia="仿宋_GB2312"/>
        <w:color w:val="000000"/>
        <w:sz w:val="32"/>
        <w:szCs w:val="32"/>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27CD1BA0"/>
    <w:multiLevelType w:val="multilevel"/>
    <w:tmpl w:val="27CD1BA0"/>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9804AAF"/>
    <w:multiLevelType w:val="multilevel"/>
    <w:tmpl w:val="29804AAF"/>
    <w:lvl w:ilvl="0" w:tentative="0">
      <w:start w:val="1"/>
      <w:numFmt w:val="decimal"/>
      <w:lvlText w:val="4.3.%1"/>
      <w:lvlJc w:val="left"/>
      <w:pPr>
        <w:ind w:left="1838" w:hanging="420"/>
      </w:pPr>
      <w:rPr>
        <w:rFonts w:hint="eastAsia" w:ascii="仿宋_GB2312" w:eastAsia="仿宋_GB2312"/>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DD74F17"/>
    <w:multiLevelType w:val="multilevel"/>
    <w:tmpl w:val="2DD74F17"/>
    <w:lvl w:ilvl="0" w:tentative="0">
      <w:start w:val="1"/>
      <w:numFmt w:val="japaneseCounting"/>
      <w:lvlText w:val="（%1）"/>
      <w:lvlJc w:val="left"/>
      <w:pPr>
        <w:ind w:left="1020"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chineseCountingThousand"/>
      <w:lvlText w:val="（%4）"/>
      <w:lvlJc w:val="left"/>
      <w:pPr>
        <w:ind w:left="2280" w:hanging="420"/>
      </w:pPr>
      <w:rPr>
        <w:rFonts w:hint="eastAsia"/>
      </w:r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7">
    <w:nsid w:val="30863595"/>
    <w:multiLevelType w:val="multilevel"/>
    <w:tmpl w:val="30863595"/>
    <w:lvl w:ilvl="0" w:tentative="0">
      <w:start w:val="1"/>
      <w:numFmt w:val="decimal"/>
      <w:lvlText w:val="4.4.%1"/>
      <w:lvlJc w:val="left"/>
      <w:pPr>
        <w:ind w:left="420" w:hanging="420"/>
      </w:pPr>
      <w:rPr>
        <w:rFonts w:hint="eastAsia" w:ascii="仿宋_GB2312" w:eastAsia="仿宋_GB2312"/>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3D9535B"/>
    <w:multiLevelType w:val="multilevel"/>
    <w:tmpl w:val="33D9535B"/>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0.%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34781991"/>
    <w:multiLevelType w:val="multilevel"/>
    <w:tmpl w:val="34781991"/>
    <w:lvl w:ilvl="0" w:tentative="0">
      <w:start w:val="1"/>
      <w:numFmt w:val="japa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5C037F7"/>
    <w:multiLevelType w:val="multilevel"/>
    <w:tmpl w:val="35C037F7"/>
    <w:lvl w:ilvl="0" w:tentative="0">
      <w:start w:val="1"/>
      <w:numFmt w:val="decimal"/>
      <w:lvlText w:val="3.1.%1"/>
      <w:lvlJc w:val="left"/>
      <w:pPr>
        <w:ind w:left="1020" w:hanging="420"/>
      </w:pPr>
      <w:rPr>
        <w:rFonts w:hint="eastAsia" w:ascii="仿宋_GB2312" w:eastAsia="仿宋_GB2312"/>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1">
    <w:nsid w:val="391528CE"/>
    <w:multiLevelType w:val="multilevel"/>
    <w:tmpl w:val="391528CE"/>
    <w:lvl w:ilvl="0" w:tentative="0">
      <w:start w:val="1"/>
      <w:numFmt w:val="decimal"/>
      <w:lvlText w:val="%1"/>
      <w:lvlJc w:val="left"/>
      <w:pPr>
        <w:tabs>
          <w:tab w:val="left" w:pos="425"/>
        </w:tabs>
        <w:ind w:left="425" w:hanging="425"/>
      </w:pPr>
      <w:rPr>
        <w:rFonts w:hint="eastAsia"/>
      </w:rPr>
    </w:lvl>
    <w:lvl w:ilvl="1" w:tentative="0">
      <w:start w:val="1"/>
      <w:numFmt w:val="none"/>
      <w:lvlText w:val="6.1"/>
      <w:lvlJc w:val="left"/>
      <w:pPr>
        <w:tabs>
          <w:tab w:val="left" w:pos="992"/>
        </w:tabs>
        <w:ind w:left="992" w:hanging="567"/>
      </w:pPr>
      <w:rPr>
        <w:rFonts w:hint="default" w:ascii="Times New Roman" w:hAnsi="Times New Roman"/>
        <w:b w:val="0"/>
        <w:i w:val="0"/>
        <w:sz w:val="24"/>
      </w:rPr>
    </w:lvl>
    <w:lvl w:ilvl="2" w:tentative="0">
      <w:start w:val="1"/>
      <w:numFmt w:val="decimal"/>
      <w:lvlText w:val="8.1.%3"/>
      <w:lvlJc w:val="left"/>
      <w:pPr>
        <w:tabs>
          <w:tab w:val="left" w:pos="1107"/>
        </w:tabs>
        <w:ind w:left="1107" w:hanging="567"/>
      </w:pPr>
      <w:rPr>
        <w:rFonts w:hint="eastAsia" w:ascii="仿宋_GB2312" w:eastAsia="仿宋_GB2312"/>
        <w:b w:val="0"/>
        <w:i w:val="0"/>
        <w:sz w:val="32"/>
        <w:szCs w:val="32"/>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3A713888"/>
    <w:multiLevelType w:val="multilevel"/>
    <w:tmpl w:val="3A713888"/>
    <w:lvl w:ilvl="0" w:tentative="0">
      <w:start w:val="1"/>
      <w:numFmt w:val="japaneseCounting"/>
      <w:lvlText w:val="（%1）"/>
      <w:lvlJc w:val="left"/>
      <w:pPr>
        <w:ind w:left="168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33">
    <w:nsid w:val="3A8F41FF"/>
    <w:multiLevelType w:val="multilevel"/>
    <w:tmpl w:val="3A8F41FF"/>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4.1.%3"/>
      <w:lvlJc w:val="left"/>
      <w:pPr>
        <w:tabs>
          <w:tab w:val="left" w:pos="1418"/>
        </w:tabs>
        <w:ind w:left="1418" w:hanging="567"/>
      </w:pPr>
      <w:rPr>
        <w:rFonts w:hint="default"/>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3DD9DE31"/>
    <w:multiLevelType w:val="singleLevel"/>
    <w:tmpl w:val="3DD9DE31"/>
    <w:lvl w:ilvl="0" w:tentative="0">
      <w:start w:val="1"/>
      <w:numFmt w:val="chineseCounting"/>
      <w:suff w:val="nothing"/>
      <w:lvlText w:val="（%1）"/>
      <w:lvlJc w:val="left"/>
      <w:rPr>
        <w:rFonts w:hint="eastAsia"/>
      </w:rPr>
    </w:lvl>
  </w:abstractNum>
  <w:abstractNum w:abstractNumId="35">
    <w:nsid w:val="3F141C2E"/>
    <w:multiLevelType w:val="multilevel"/>
    <w:tmpl w:val="3F141C2E"/>
    <w:lvl w:ilvl="0" w:tentative="0">
      <w:start w:val="1"/>
      <w:numFmt w:val="decimal"/>
      <w:lvlText w:val="3.2.%1"/>
      <w:lvlJc w:val="left"/>
      <w:pPr>
        <w:ind w:left="1020" w:hanging="420"/>
      </w:pPr>
      <w:rPr>
        <w:rFonts w:hint="eastAsia" w:ascii="仿宋_GB2312" w:eastAsia="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F724550"/>
    <w:multiLevelType w:val="multilevel"/>
    <w:tmpl w:val="3F724550"/>
    <w:lvl w:ilvl="0" w:tentative="0">
      <w:start w:val="1"/>
      <w:numFmt w:val="japaneseCounting"/>
      <w:lvlText w:val="（%1）"/>
      <w:lvlJc w:val="left"/>
      <w:pPr>
        <w:ind w:left="2498" w:hanging="108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7">
    <w:nsid w:val="41702B4F"/>
    <w:multiLevelType w:val="multilevel"/>
    <w:tmpl w:val="41702B4F"/>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4.2.%3"/>
      <w:lvlJc w:val="left"/>
      <w:pPr>
        <w:tabs>
          <w:tab w:val="left" w:pos="1986"/>
        </w:tabs>
        <w:ind w:left="1986" w:hanging="567"/>
      </w:pPr>
      <w:rPr>
        <w:rFonts w:hint="default"/>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8">
    <w:nsid w:val="4288B1E3"/>
    <w:multiLevelType w:val="singleLevel"/>
    <w:tmpl w:val="4288B1E3"/>
    <w:lvl w:ilvl="0" w:tentative="0">
      <w:start w:val="1"/>
      <w:numFmt w:val="chineseCounting"/>
      <w:suff w:val="nothing"/>
      <w:lvlText w:val="（%1）"/>
      <w:lvlJc w:val="left"/>
      <w:rPr>
        <w:rFonts w:hint="eastAsia"/>
      </w:rPr>
    </w:lvl>
  </w:abstractNum>
  <w:abstractNum w:abstractNumId="39">
    <w:nsid w:val="42D76990"/>
    <w:multiLevelType w:val="multilevel"/>
    <w:tmpl w:val="42D76990"/>
    <w:lvl w:ilvl="0" w:tentative="0">
      <w:start w:val="1"/>
      <w:numFmt w:val="decimal"/>
      <w:lvlText w:val="13.1.%1"/>
      <w:lvlJc w:val="left"/>
      <w:pPr>
        <w:ind w:left="1020" w:hanging="420"/>
      </w:pPr>
      <w:rPr>
        <w:rFonts w:hint="eastAsia" w:ascii="仿宋_GB2312" w:eastAsia="仿宋_GB2312"/>
        <w:sz w:val="32"/>
        <w:szCs w:val="32"/>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0">
    <w:nsid w:val="42FE4F5A"/>
    <w:multiLevelType w:val="multilevel"/>
    <w:tmpl w:val="42FE4F5A"/>
    <w:lvl w:ilvl="0" w:tentative="0">
      <w:start w:val="1"/>
      <w:numFmt w:val="japaneseCounting"/>
      <w:lvlText w:val="（%1）"/>
      <w:lvlJc w:val="left"/>
      <w:pPr>
        <w:ind w:left="1680" w:hanging="1080"/>
      </w:pPr>
      <w:rPr>
        <w:rFonts w:hint="default"/>
        <w:lang w:val="en-US"/>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1">
    <w:nsid w:val="4B8E50EA"/>
    <w:multiLevelType w:val="multilevel"/>
    <w:tmpl w:val="4B8E50EA"/>
    <w:lvl w:ilvl="0" w:tentative="0">
      <w:start w:val="1"/>
      <w:numFmt w:val="decimal"/>
      <w:lvlText w:val="12.9.%1"/>
      <w:lvlJc w:val="left"/>
      <w:pPr>
        <w:ind w:left="1837" w:hanging="420"/>
      </w:pPr>
      <w:rPr>
        <w:rFonts w:hint="eastAsia"/>
      </w:rPr>
    </w:lvl>
    <w:lvl w:ilvl="1" w:tentative="0">
      <w:start w:val="1"/>
      <w:numFmt w:val="lowerLetter"/>
      <w:lvlText w:val="%2)"/>
      <w:lvlJc w:val="left"/>
      <w:pPr>
        <w:ind w:left="830" w:hanging="420"/>
      </w:pPr>
    </w:lvl>
    <w:lvl w:ilvl="2" w:tentative="0">
      <w:start w:val="1"/>
      <w:numFmt w:val="lowerRoman"/>
      <w:lvlText w:val="%3."/>
      <w:lvlJc w:val="right"/>
      <w:pPr>
        <w:ind w:left="1250" w:hanging="420"/>
      </w:pPr>
    </w:lvl>
    <w:lvl w:ilvl="3" w:tentative="0">
      <w:start w:val="1"/>
      <w:numFmt w:val="decimal"/>
      <w:lvlText w:val="%4."/>
      <w:lvlJc w:val="left"/>
      <w:pPr>
        <w:ind w:left="1670" w:hanging="420"/>
      </w:pPr>
    </w:lvl>
    <w:lvl w:ilvl="4" w:tentative="0">
      <w:start w:val="1"/>
      <w:numFmt w:val="lowerLetter"/>
      <w:lvlText w:val="%5)"/>
      <w:lvlJc w:val="left"/>
      <w:pPr>
        <w:ind w:left="2090" w:hanging="420"/>
      </w:pPr>
    </w:lvl>
    <w:lvl w:ilvl="5" w:tentative="0">
      <w:start w:val="1"/>
      <w:numFmt w:val="lowerRoman"/>
      <w:lvlText w:val="%6."/>
      <w:lvlJc w:val="right"/>
      <w:pPr>
        <w:ind w:left="2510" w:hanging="420"/>
      </w:pPr>
    </w:lvl>
    <w:lvl w:ilvl="6" w:tentative="0">
      <w:start w:val="1"/>
      <w:numFmt w:val="decimal"/>
      <w:lvlText w:val="%7."/>
      <w:lvlJc w:val="left"/>
      <w:pPr>
        <w:ind w:left="2930" w:hanging="420"/>
      </w:pPr>
    </w:lvl>
    <w:lvl w:ilvl="7" w:tentative="0">
      <w:start w:val="1"/>
      <w:numFmt w:val="lowerLetter"/>
      <w:lvlText w:val="%8)"/>
      <w:lvlJc w:val="left"/>
      <w:pPr>
        <w:ind w:left="3350" w:hanging="420"/>
      </w:pPr>
    </w:lvl>
    <w:lvl w:ilvl="8" w:tentative="0">
      <w:start w:val="1"/>
      <w:numFmt w:val="lowerRoman"/>
      <w:lvlText w:val="%9."/>
      <w:lvlJc w:val="right"/>
      <w:pPr>
        <w:ind w:left="3770" w:hanging="420"/>
      </w:pPr>
    </w:lvl>
  </w:abstractNum>
  <w:abstractNum w:abstractNumId="42">
    <w:nsid w:val="4CF635A2"/>
    <w:multiLevelType w:val="multilevel"/>
    <w:tmpl w:val="4CF635A2"/>
    <w:lvl w:ilvl="0" w:tentative="0">
      <w:start w:val="1"/>
      <w:numFmt w:val="decimal"/>
      <w:lvlText w:val="%1"/>
      <w:lvlJc w:val="left"/>
      <w:pPr>
        <w:tabs>
          <w:tab w:val="left" w:pos="425"/>
        </w:tabs>
        <w:ind w:left="425" w:hanging="425"/>
      </w:pPr>
      <w:rPr>
        <w:rFonts w:hint="eastAsia"/>
      </w:rPr>
    </w:lvl>
    <w:lvl w:ilvl="1" w:tentative="0">
      <w:start w:val="1"/>
      <w:numFmt w:val="none"/>
      <w:lvlText w:val="6.1"/>
      <w:lvlJc w:val="left"/>
      <w:pPr>
        <w:tabs>
          <w:tab w:val="left" w:pos="992"/>
        </w:tabs>
        <w:ind w:left="992" w:hanging="567"/>
      </w:pPr>
      <w:rPr>
        <w:rFonts w:hint="default" w:ascii="Times New Roman" w:hAnsi="Times New Roman"/>
        <w:b w:val="0"/>
        <w:i w:val="0"/>
        <w:sz w:val="24"/>
      </w:rPr>
    </w:lvl>
    <w:lvl w:ilvl="2" w:tentative="0">
      <w:start w:val="1"/>
      <w:numFmt w:val="decimal"/>
      <w:lvlText w:val="8.2.%3"/>
      <w:lvlJc w:val="left"/>
      <w:pPr>
        <w:tabs>
          <w:tab w:val="left" w:pos="1107"/>
        </w:tabs>
        <w:ind w:left="1107" w:hanging="567"/>
      </w:pPr>
      <w:rPr>
        <w:rFonts w:hint="eastAsia" w:ascii="仿宋_GB2312" w:eastAsia="仿宋_GB2312"/>
        <w:b w:val="0"/>
        <w:i w:val="0"/>
        <w:sz w:val="32"/>
        <w:szCs w:val="32"/>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3">
    <w:nsid w:val="4FA40653"/>
    <w:multiLevelType w:val="multilevel"/>
    <w:tmpl w:val="4FA40653"/>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4">
    <w:nsid w:val="507A117E"/>
    <w:multiLevelType w:val="multilevel"/>
    <w:tmpl w:val="507A117E"/>
    <w:lvl w:ilvl="0" w:tentative="0">
      <w:start w:val="1"/>
      <w:numFmt w:val="chineseCountingThousand"/>
      <w:lvlText w:val="（%1）"/>
      <w:lvlJc w:val="left"/>
      <w:pPr>
        <w:ind w:left="1020"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5">
    <w:nsid w:val="517132A2"/>
    <w:multiLevelType w:val="multilevel"/>
    <w:tmpl w:val="517132A2"/>
    <w:lvl w:ilvl="0" w:tentative="0">
      <w:start w:val="1"/>
      <w:numFmt w:val="chineseCountingThousand"/>
      <w:lvlText w:val="（%1）"/>
      <w:lvlJc w:val="left"/>
      <w:pPr>
        <w:ind w:left="232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6">
    <w:nsid w:val="51A446F0"/>
    <w:multiLevelType w:val="multilevel"/>
    <w:tmpl w:val="51A446F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9.1.%3"/>
      <w:lvlJc w:val="left"/>
      <w:pPr>
        <w:tabs>
          <w:tab w:val="left" w:pos="709"/>
        </w:tabs>
        <w:ind w:left="709" w:hanging="709"/>
      </w:pPr>
      <w:rPr>
        <w:rFonts w:hint="eastAsia"/>
        <w:b w:val="0"/>
        <w:i w:val="0"/>
        <w:sz w:val="32"/>
        <w:szCs w:val="32"/>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7">
    <w:nsid w:val="51CC5799"/>
    <w:multiLevelType w:val="multilevel"/>
    <w:tmpl w:val="51CC5799"/>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2.8.%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8">
    <w:nsid w:val="51E160B7"/>
    <w:multiLevelType w:val="multilevel"/>
    <w:tmpl w:val="51E160B7"/>
    <w:lvl w:ilvl="0" w:tentative="0">
      <w:start w:val="1"/>
      <w:numFmt w:val="decimal"/>
      <w:lvlText w:val="13.2.%1"/>
      <w:lvlJc w:val="left"/>
      <w:pPr>
        <w:ind w:left="1020" w:hanging="420"/>
      </w:pPr>
      <w:rPr>
        <w:rFonts w:hint="eastAsia" w:ascii="仿宋_GB2312" w:eastAsia="仿宋_GB2312"/>
        <w:sz w:val="32"/>
        <w:szCs w:val="32"/>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9">
    <w:nsid w:val="59393B6C"/>
    <w:multiLevelType w:val="multilevel"/>
    <w:tmpl w:val="59393B6C"/>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0">
    <w:nsid w:val="59F265CF"/>
    <w:multiLevelType w:val="multilevel"/>
    <w:tmpl w:val="59F265CF"/>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5.%3"/>
      <w:lvlJc w:val="left"/>
      <w:pPr>
        <w:tabs>
          <w:tab w:val="left" w:pos="1418"/>
        </w:tabs>
        <w:ind w:left="1418" w:hanging="567"/>
      </w:pPr>
      <w:rPr>
        <w:rFonts w:hint="default"/>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1">
    <w:nsid w:val="59F8406A"/>
    <w:multiLevelType w:val="multilevel"/>
    <w:tmpl w:val="59F8406A"/>
    <w:lvl w:ilvl="0" w:tentative="0">
      <w:start w:val="1"/>
      <w:numFmt w:val="japaneseCounting"/>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chineseCountingThousand"/>
      <w:lvlText w:val="（%4）"/>
      <w:lvlJc w:val="left"/>
      <w:pPr>
        <w:ind w:left="2320" w:hanging="420"/>
      </w:pPr>
      <w:rPr>
        <w:rFonts w:hint="eastAsia"/>
      </w:r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2">
    <w:nsid w:val="5A151A01"/>
    <w:multiLevelType w:val="multilevel"/>
    <w:tmpl w:val="5A151A01"/>
    <w:lvl w:ilvl="0" w:tentative="0">
      <w:start w:val="1"/>
      <w:numFmt w:val="japaneseCounting"/>
      <w:lvlText w:val="（%1）"/>
      <w:lvlJc w:val="left"/>
      <w:pPr>
        <w:ind w:left="4530" w:hanging="141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3">
    <w:nsid w:val="5B4127A2"/>
    <w:multiLevelType w:val="multilevel"/>
    <w:tmpl w:val="5B4127A2"/>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2.5.%3"/>
      <w:lvlJc w:val="left"/>
      <w:pPr>
        <w:tabs>
          <w:tab w:val="left" w:pos="1418"/>
        </w:tabs>
        <w:ind w:left="1418" w:hanging="567"/>
      </w:pPr>
      <w:rPr>
        <w:rFonts w:hint="eastAsia"/>
        <w:sz w:val="32"/>
        <w:szCs w:val="32"/>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4">
    <w:nsid w:val="5D747A6E"/>
    <w:multiLevelType w:val="multilevel"/>
    <w:tmpl w:val="5D747A6E"/>
    <w:lvl w:ilvl="0" w:tentative="0">
      <w:start w:val="1"/>
      <w:numFmt w:val="decimal"/>
      <w:lvlText w:val="%1."/>
      <w:lvlJc w:val="left"/>
      <w:pPr>
        <w:ind w:left="1571" w:hanging="720"/>
      </w:pPr>
      <w:rPr>
        <w:rFonts w:hint="default"/>
      </w:rPr>
    </w:lvl>
    <w:lvl w:ilvl="1" w:tentative="0">
      <w:start w:val="1"/>
      <w:numFmt w:val="lowerLetter"/>
      <w:lvlText w:val="%2)"/>
      <w:lvlJc w:val="left"/>
      <w:pPr>
        <w:ind w:left="-153" w:hanging="420"/>
      </w:pPr>
    </w:lvl>
    <w:lvl w:ilvl="2" w:tentative="0">
      <w:start w:val="1"/>
      <w:numFmt w:val="lowerRoman"/>
      <w:lvlText w:val="%3."/>
      <w:lvlJc w:val="right"/>
      <w:pPr>
        <w:ind w:left="267" w:hanging="420"/>
      </w:pPr>
    </w:lvl>
    <w:lvl w:ilvl="3" w:tentative="0">
      <w:start w:val="1"/>
      <w:numFmt w:val="decimal"/>
      <w:lvlText w:val="%4."/>
      <w:lvlJc w:val="left"/>
      <w:pPr>
        <w:ind w:left="687" w:hanging="420"/>
      </w:pPr>
    </w:lvl>
    <w:lvl w:ilvl="4" w:tentative="0">
      <w:start w:val="1"/>
      <w:numFmt w:val="lowerLetter"/>
      <w:lvlText w:val="%5)"/>
      <w:lvlJc w:val="left"/>
      <w:pPr>
        <w:ind w:left="1107" w:hanging="420"/>
      </w:pPr>
    </w:lvl>
    <w:lvl w:ilvl="5" w:tentative="0">
      <w:start w:val="1"/>
      <w:numFmt w:val="lowerRoman"/>
      <w:lvlText w:val="%6."/>
      <w:lvlJc w:val="right"/>
      <w:pPr>
        <w:ind w:left="1527" w:hanging="420"/>
      </w:pPr>
    </w:lvl>
    <w:lvl w:ilvl="6" w:tentative="0">
      <w:start w:val="1"/>
      <w:numFmt w:val="decimal"/>
      <w:lvlText w:val="%7."/>
      <w:lvlJc w:val="left"/>
      <w:pPr>
        <w:ind w:left="1947" w:hanging="420"/>
      </w:pPr>
    </w:lvl>
    <w:lvl w:ilvl="7" w:tentative="0">
      <w:start w:val="1"/>
      <w:numFmt w:val="lowerLetter"/>
      <w:lvlText w:val="%8)"/>
      <w:lvlJc w:val="left"/>
      <w:pPr>
        <w:ind w:left="2367" w:hanging="420"/>
      </w:pPr>
    </w:lvl>
    <w:lvl w:ilvl="8" w:tentative="0">
      <w:start w:val="1"/>
      <w:numFmt w:val="lowerRoman"/>
      <w:lvlText w:val="%9."/>
      <w:lvlJc w:val="right"/>
      <w:pPr>
        <w:ind w:left="2787" w:hanging="420"/>
      </w:pPr>
    </w:lvl>
  </w:abstractNum>
  <w:abstractNum w:abstractNumId="55">
    <w:nsid w:val="5DDD2EFB"/>
    <w:multiLevelType w:val="multilevel"/>
    <w:tmpl w:val="5DDD2EFB"/>
    <w:lvl w:ilvl="0" w:tentative="0">
      <w:start w:val="2"/>
      <w:numFmt w:val="decimal"/>
      <w:lvlText w:val="%1"/>
      <w:lvlJc w:val="left"/>
      <w:pPr>
        <w:tabs>
          <w:tab w:val="left" w:pos="425"/>
        </w:tabs>
        <w:ind w:left="425" w:hanging="425"/>
      </w:pPr>
      <w:rPr>
        <w:rFonts w:hint="eastAsia"/>
      </w:rPr>
    </w:lvl>
    <w:lvl w:ilvl="1" w:tentative="0">
      <w:start w:val="1"/>
      <w:numFmt w:val="decimal"/>
      <w:lvlText w:val="5.4.%2"/>
      <w:lvlJc w:val="left"/>
      <w:pPr>
        <w:tabs>
          <w:tab w:val="left" w:pos="992"/>
        </w:tabs>
        <w:ind w:left="992" w:hanging="567"/>
      </w:pPr>
      <w:rPr>
        <w:rFonts w:hint="eastAsia"/>
        <w:b w:val="0"/>
        <w:i w:val="0"/>
        <w:color w:val="auto"/>
        <w:sz w:val="32"/>
        <w:szCs w:val="32"/>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6">
    <w:nsid w:val="61862338"/>
    <w:multiLevelType w:val="multilevel"/>
    <w:tmpl w:val="61862338"/>
    <w:lvl w:ilvl="0" w:tentative="0">
      <w:start w:val="1"/>
      <w:numFmt w:val="japaneseCounting"/>
      <w:lvlText w:val="（%1）"/>
      <w:lvlJc w:val="left"/>
      <w:pPr>
        <w:ind w:left="1788" w:hanging="108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57">
    <w:nsid w:val="71534485"/>
    <w:multiLevelType w:val="multilevel"/>
    <w:tmpl w:val="71534485"/>
    <w:lvl w:ilvl="0" w:tentative="0">
      <w:start w:val="1"/>
      <w:numFmt w:val="decimal"/>
      <w:lvlText w:val="4.2.%1"/>
      <w:lvlJc w:val="left"/>
      <w:pPr>
        <w:ind w:left="1555" w:hanging="420"/>
      </w:pPr>
      <w:rPr>
        <w:rFonts w:hint="eastAsia" w:ascii="仿宋_GB2312" w:eastAsia="仿宋_GB2312"/>
        <w:b w:val="0"/>
      </w:r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58">
    <w:nsid w:val="71C01660"/>
    <w:multiLevelType w:val="multilevel"/>
    <w:tmpl w:val="71C01660"/>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2.1.%3"/>
      <w:lvlJc w:val="left"/>
      <w:pPr>
        <w:tabs>
          <w:tab w:val="left" w:pos="720"/>
        </w:tabs>
        <w:ind w:left="720" w:hanging="720"/>
      </w:pPr>
      <w:rPr>
        <w:rFonts w:hint="eastAsia" w:ascii="仿宋_GB2312" w:eastAsia="仿宋_GB2312"/>
        <w:b w:val="0"/>
        <w:i w:val="0"/>
        <w:sz w:val="32"/>
        <w:szCs w:val="32"/>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9">
    <w:nsid w:val="7403754B"/>
    <w:multiLevelType w:val="multilevel"/>
    <w:tmpl w:val="7403754B"/>
    <w:lvl w:ilvl="0" w:tentative="0">
      <w:start w:val="2"/>
      <w:numFmt w:val="decimal"/>
      <w:lvlText w:val="%1"/>
      <w:lvlJc w:val="left"/>
      <w:pPr>
        <w:tabs>
          <w:tab w:val="left" w:pos="425"/>
        </w:tabs>
        <w:ind w:left="425" w:hanging="425"/>
      </w:pPr>
      <w:rPr>
        <w:rFonts w:hint="eastAsia"/>
      </w:rPr>
    </w:lvl>
    <w:lvl w:ilvl="1" w:tentative="0">
      <w:start w:val="1"/>
      <w:numFmt w:val="decimal"/>
      <w:lvlText w:val="5.1.%2"/>
      <w:lvlJc w:val="left"/>
      <w:pPr>
        <w:tabs>
          <w:tab w:val="left" w:pos="992"/>
        </w:tabs>
        <w:ind w:left="992" w:hanging="567"/>
      </w:pPr>
      <w:rPr>
        <w:rFonts w:hint="eastAsia" w:ascii="仿宋_GB2312" w:eastAsia="仿宋_GB2312"/>
        <w:b w:val="0"/>
        <w:i w:val="0"/>
        <w:color w:val="auto"/>
        <w:sz w:val="32"/>
        <w:szCs w:val="32"/>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0">
    <w:nsid w:val="76EA436B"/>
    <w:multiLevelType w:val="multilevel"/>
    <w:tmpl w:val="76EA436B"/>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2.1.%3"/>
      <w:lvlJc w:val="left"/>
      <w:pPr>
        <w:tabs>
          <w:tab w:val="left" w:pos="1418"/>
        </w:tabs>
        <w:ind w:left="1418" w:hanging="567"/>
      </w:pPr>
      <w:rPr>
        <w:rFonts w:hint="eastAsia"/>
        <w:sz w:val="32"/>
        <w:szCs w:val="32"/>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1">
    <w:nsid w:val="78EF2EC5"/>
    <w:multiLevelType w:val="multilevel"/>
    <w:tmpl w:val="78EF2EC5"/>
    <w:lvl w:ilvl="0" w:tentative="0">
      <w:start w:val="2"/>
      <w:numFmt w:val="decimal"/>
      <w:lvlText w:val="%1"/>
      <w:lvlJc w:val="left"/>
      <w:pPr>
        <w:tabs>
          <w:tab w:val="left" w:pos="425"/>
        </w:tabs>
        <w:ind w:left="425" w:hanging="425"/>
      </w:pPr>
      <w:rPr>
        <w:rFonts w:hint="eastAsia"/>
      </w:rPr>
    </w:lvl>
    <w:lvl w:ilvl="1" w:tentative="0">
      <w:start w:val="1"/>
      <w:numFmt w:val="decimal"/>
      <w:lvlText w:val="4.1.%2"/>
      <w:lvlJc w:val="left"/>
      <w:pPr>
        <w:tabs>
          <w:tab w:val="left" w:pos="2127"/>
        </w:tabs>
        <w:ind w:left="2127" w:hanging="567"/>
      </w:pPr>
      <w:rPr>
        <w:rFonts w:hint="eastAsia"/>
        <w:b w:val="0"/>
        <w:i w:val="0"/>
        <w:color w:val="auto"/>
        <w:sz w:val="32"/>
        <w:szCs w:val="32"/>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2">
    <w:nsid w:val="7B8731A3"/>
    <w:multiLevelType w:val="multilevel"/>
    <w:tmpl w:val="7B8731A3"/>
    <w:lvl w:ilvl="0" w:tentative="0">
      <w:start w:val="11"/>
      <w:numFmt w:val="decimal"/>
      <w:lvlText w:val="%1"/>
      <w:lvlJc w:val="left"/>
      <w:pPr>
        <w:tabs>
          <w:tab w:val="left" w:pos="425"/>
        </w:tabs>
        <w:ind w:left="425" w:hanging="425"/>
      </w:pPr>
      <w:rPr>
        <w:rFonts w:hint="eastAsia"/>
      </w:rPr>
    </w:lvl>
    <w:lvl w:ilvl="1" w:tentative="0">
      <w:start w:val="8"/>
      <w:numFmt w:val="decimal"/>
      <w:lvlText w:val="%1.%2"/>
      <w:lvlJc w:val="left"/>
      <w:pPr>
        <w:tabs>
          <w:tab w:val="left" w:pos="992"/>
        </w:tabs>
        <w:ind w:left="992" w:hanging="567"/>
      </w:pPr>
      <w:rPr>
        <w:rFonts w:hint="eastAsia"/>
      </w:rPr>
    </w:lvl>
    <w:lvl w:ilvl="2" w:tentative="0">
      <w:start w:val="1"/>
      <w:numFmt w:val="decimal"/>
      <w:lvlText w:val="16.%3"/>
      <w:lvlJc w:val="left"/>
      <w:pPr>
        <w:tabs>
          <w:tab w:val="left" w:pos="1418"/>
        </w:tabs>
        <w:ind w:left="1418" w:hanging="567"/>
      </w:pPr>
      <w:rPr>
        <w:rFonts w:hint="eastAsia" w:ascii="仿宋_GB2312" w:eastAsia="仿宋_GB2312"/>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3">
    <w:nsid w:val="7FCD41A3"/>
    <w:multiLevelType w:val="multilevel"/>
    <w:tmpl w:val="7FCD41A3"/>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2.2.%3"/>
      <w:lvlJc w:val="left"/>
      <w:pPr>
        <w:tabs>
          <w:tab w:val="left" w:pos="720"/>
        </w:tabs>
        <w:ind w:left="720" w:hanging="720"/>
      </w:pPr>
      <w:rPr>
        <w:rFonts w:hint="eastAsia" w:ascii="仿宋_GB2312" w:eastAsia="仿宋_GB2312"/>
        <w:b w:val="0"/>
        <w:i w:val="0"/>
        <w:sz w:val="32"/>
        <w:szCs w:val="32"/>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6"/>
  </w:num>
  <w:num w:numId="2">
    <w:abstractNumId w:val="24"/>
  </w:num>
  <w:num w:numId="3">
    <w:abstractNumId w:val="58"/>
  </w:num>
  <w:num w:numId="4">
    <w:abstractNumId w:val="44"/>
  </w:num>
  <w:num w:numId="5">
    <w:abstractNumId w:val="63"/>
  </w:num>
  <w:num w:numId="6">
    <w:abstractNumId w:val="1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5"/>
  </w:num>
  <w:num w:numId="10">
    <w:abstractNumId w:val="36"/>
  </w:num>
  <w:num w:numId="11">
    <w:abstractNumId w:val="14"/>
  </w:num>
  <w:num w:numId="12">
    <w:abstractNumId w:val="43"/>
  </w:num>
  <w:num w:numId="13">
    <w:abstractNumId w:val="40"/>
  </w:num>
  <w:num w:numId="14">
    <w:abstractNumId w:val="52"/>
  </w:num>
  <w:num w:numId="15">
    <w:abstractNumId w:val="61"/>
  </w:num>
  <w:num w:numId="16">
    <w:abstractNumId w:val="57"/>
  </w:num>
  <w:num w:numId="17">
    <w:abstractNumId w:val="49"/>
  </w:num>
  <w:num w:numId="18">
    <w:abstractNumId w:val="25"/>
  </w:num>
  <w:num w:numId="19">
    <w:abstractNumId w:val="27"/>
  </w:num>
  <w:num w:numId="20">
    <w:abstractNumId w:val="11"/>
  </w:num>
  <w:num w:numId="21">
    <w:abstractNumId w:val="59"/>
  </w:num>
  <w:num w:numId="22">
    <w:abstractNumId w:val="4"/>
  </w:num>
  <w:num w:numId="23">
    <w:abstractNumId w:val="19"/>
  </w:num>
  <w:num w:numId="24">
    <w:abstractNumId w:val="55"/>
  </w:num>
  <w:num w:numId="25">
    <w:abstractNumId w:val="9"/>
  </w:num>
  <w:num w:numId="26">
    <w:abstractNumId w:val="22"/>
  </w:num>
  <w:num w:numId="27">
    <w:abstractNumId w:val="38"/>
  </w:num>
  <w:num w:numId="28">
    <w:abstractNumId w:val="21"/>
  </w:num>
  <w:num w:numId="29">
    <w:abstractNumId w:val="51"/>
  </w:num>
  <w:num w:numId="30">
    <w:abstractNumId w:val="7"/>
  </w:num>
  <w:num w:numId="31">
    <w:abstractNumId w:val="45"/>
  </w:num>
  <w:num w:numId="32">
    <w:abstractNumId w:val="13"/>
  </w:num>
  <w:num w:numId="33">
    <w:abstractNumId w:val="17"/>
  </w:num>
  <w:num w:numId="34">
    <w:abstractNumId w:val="31"/>
  </w:num>
  <w:num w:numId="35">
    <w:abstractNumId w:val="5"/>
  </w:num>
  <w:num w:numId="36">
    <w:abstractNumId w:val="42"/>
  </w:num>
  <w:num w:numId="37">
    <w:abstractNumId w:val="32"/>
  </w:num>
  <w:num w:numId="38">
    <w:abstractNumId w:val="29"/>
  </w:num>
  <w:num w:numId="39">
    <w:abstractNumId w:val="46"/>
  </w:num>
  <w:num w:numId="40">
    <w:abstractNumId w:val="10"/>
  </w:num>
  <w:num w:numId="41">
    <w:abstractNumId w:val="56"/>
  </w:num>
  <w:num w:numId="42">
    <w:abstractNumId w:val="3"/>
  </w:num>
  <w:num w:numId="43">
    <w:abstractNumId w:val="28"/>
  </w:num>
  <w:num w:numId="44">
    <w:abstractNumId w:val="1"/>
  </w:num>
  <w:num w:numId="45">
    <w:abstractNumId w:val="60"/>
  </w:num>
  <w:num w:numId="46">
    <w:abstractNumId w:val="8"/>
  </w:num>
  <w:num w:numId="47">
    <w:abstractNumId w:val="12"/>
  </w:num>
  <w:num w:numId="48">
    <w:abstractNumId w:val="34"/>
  </w:num>
  <w:num w:numId="49">
    <w:abstractNumId w:val="23"/>
  </w:num>
  <w:num w:numId="50">
    <w:abstractNumId w:val="53"/>
  </w:num>
  <w:num w:numId="51">
    <w:abstractNumId w:val="20"/>
  </w:num>
  <w:num w:numId="52">
    <w:abstractNumId w:val="15"/>
  </w:num>
  <w:num w:numId="53">
    <w:abstractNumId w:val="47"/>
  </w:num>
  <w:num w:numId="54">
    <w:abstractNumId w:val="2"/>
  </w:num>
  <w:num w:numId="55">
    <w:abstractNumId w:val="41"/>
  </w:num>
  <w:num w:numId="56">
    <w:abstractNumId w:val="0"/>
  </w:num>
  <w:num w:numId="57">
    <w:abstractNumId w:val="39"/>
  </w:num>
  <w:num w:numId="58">
    <w:abstractNumId w:val="48"/>
  </w:num>
  <w:num w:numId="59">
    <w:abstractNumId w:val="33"/>
  </w:num>
  <w:num w:numId="60">
    <w:abstractNumId w:val="37"/>
  </w:num>
  <w:num w:numId="61">
    <w:abstractNumId w:val="50"/>
  </w:num>
  <w:num w:numId="62">
    <w:abstractNumId w:val="26"/>
  </w:num>
  <w:num w:numId="63">
    <w:abstractNumId w:val="54"/>
  </w:num>
  <w:num w:numId="64">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NDBmMTJkYzBiMThlMDhhNTE5MDJhNGRjYmJlZjQifQ=="/>
  </w:docVars>
  <w:rsids>
    <w:rsidRoot w:val="00F26598"/>
    <w:rsid w:val="00000D4D"/>
    <w:rsid w:val="00001743"/>
    <w:rsid w:val="000035AC"/>
    <w:rsid w:val="00003C64"/>
    <w:rsid w:val="0000584C"/>
    <w:rsid w:val="00005EC6"/>
    <w:rsid w:val="000070D5"/>
    <w:rsid w:val="00010068"/>
    <w:rsid w:val="00010A9B"/>
    <w:rsid w:val="000134D2"/>
    <w:rsid w:val="00016DD0"/>
    <w:rsid w:val="00020BC7"/>
    <w:rsid w:val="000211DE"/>
    <w:rsid w:val="000222A2"/>
    <w:rsid w:val="00024013"/>
    <w:rsid w:val="00024660"/>
    <w:rsid w:val="00025EB5"/>
    <w:rsid w:val="00027ADB"/>
    <w:rsid w:val="00035638"/>
    <w:rsid w:val="00035DE0"/>
    <w:rsid w:val="00037F4F"/>
    <w:rsid w:val="0004052C"/>
    <w:rsid w:val="00043E18"/>
    <w:rsid w:val="00047F9B"/>
    <w:rsid w:val="000502F6"/>
    <w:rsid w:val="00051659"/>
    <w:rsid w:val="00052485"/>
    <w:rsid w:val="00052C92"/>
    <w:rsid w:val="000544F9"/>
    <w:rsid w:val="0005471D"/>
    <w:rsid w:val="00055AD6"/>
    <w:rsid w:val="0005629B"/>
    <w:rsid w:val="000632CF"/>
    <w:rsid w:val="00063DAB"/>
    <w:rsid w:val="00064261"/>
    <w:rsid w:val="00064283"/>
    <w:rsid w:val="00064428"/>
    <w:rsid w:val="0006560C"/>
    <w:rsid w:val="000673CD"/>
    <w:rsid w:val="000703AF"/>
    <w:rsid w:val="00070C6A"/>
    <w:rsid w:val="000736D4"/>
    <w:rsid w:val="0007537B"/>
    <w:rsid w:val="000756C7"/>
    <w:rsid w:val="00081C01"/>
    <w:rsid w:val="00082A3D"/>
    <w:rsid w:val="00082ED9"/>
    <w:rsid w:val="000836FF"/>
    <w:rsid w:val="00087603"/>
    <w:rsid w:val="00087D81"/>
    <w:rsid w:val="0009140E"/>
    <w:rsid w:val="00091B66"/>
    <w:rsid w:val="00093206"/>
    <w:rsid w:val="0009391D"/>
    <w:rsid w:val="00096075"/>
    <w:rsid w:val="000962C5"/>
    <w:rsid w:val="000963E2"/>
    <w:rsid w:val="00096BF1"/>
    <w:rsid w:val="000A0E95"/>
    <w:rsid w:val="000A18E6"/>
    <w:rsid w:val="000A1F57"/>
    <w:rsid w:val="000A3039"/>
    <w:rsid w:val="000A3B9C"/>
    <w:rsid w:val="000A4BB8"/>
    <w:rsid w:val="000A5151"/>
    <w:rsid w:val="000A6B6A"/>
    <w:rsid w:val="000A705B"/>
    <w:rsid w:val="000B1946"/>
    <w:rsid w:val="000B19FB"/>
    <w:rsid w:val="000B4860"/>
    <w:rsid w:val="000B4C3D"/>
    <w:rsid w:val="000B4F77"/>
    <w:rsid w:val="000B78DD"/>
    <w:rsid w:val="000C053A"/>
    <w:rsid w:val="000C0D33"/>
    <w:rsid w:val="000C109D"/>
    <w:rsid w:val="000C214D"/>
    <w:rsid w:val="000C29B8"/>
    <w:rsid w:val="000C2E3A"/>
    <w:rsid w:val="000C353F"/>
    <w:rsid w:val="000C36C9"/>
    <w:rsid w:val="000C4560"/>
    <w:rsid w:val="000C5639"/>
    <w:rsid w:val="000C6356"/>
    <w:rsid w:val="000D423C"/>
    <w:rsid w:val="000D45F9"/>
    <w:rsid w:val="000D62F9"/>
    <w:rsid w:val="000D6F86"/>
    <w:rsid w:val="000E081F"/>
    <w:rsid w:val="000E0DB8"/>
    <w:rsid w:val="000E2BDE"/>
    <w:rsid w:val="000E4853"/>
    <w:rsid w:val="000E54ED"/>
    <w:rsid w:val="000E6637"/>
    <w:rsid w:val="000E6773"/>
    <w:rsid w:val="000F0BB5"/>
    <w:rsid w:val="000F14D9"/>
    <w:rsid w:val="000F1855"/>
    <w:rsid w:val="000F38A1"/>
    <w:rsid w:val="000F4796"/>
    <w:rsid w:val="000F6041"/>
    <w:rsid w:val="000F79D2"/>
    <w:rsid w:val="00101F3B"/>
    <w:rsid w:val="00102256"/>
    <w:rsid w:val="00102494"/>
    <w:rsid w:val="001033E2"/>
    <w:rsid w:val="00103E21"/>
    <w:rsid w:val="0010566D"/>
    <w:rsid w:val="001060C7"/>
    <w:rsid w:val="00106249"/>
    <w:rsid w:val="00106E76"/>
    <w:rsid w:val="00106F45"/>
    <w:rsid w:val="00110649"/>
    <w:rsid w:val="00111AA9"/>
    <w:rsid w:val="00113111"/>
    <w:rsid w:val="001141C9"/>
    <w:rsid w:val="001156B2"/>
    <w:rsid w:val="00115BE2"/>
    <w:rsid w:val="00116762"/>
    <w:rsid w:val="00120153"/>
    <w:rsid w:val="00121833"/>
    <w:rsid w:val="001222F6"/>
    <w:rsid w:val="0012356E"/>
    <w:rsid w:val="001240CD"/>
    <w:rsid w:val="00132ACF"/>
    <w:rsid w:val="00132BA4"/>
    <w:rsid w:val="0013668E"/>
    <w:rsid w:val="0014031B"/>
    <w:rsid w:val="00140CFB"/>
    <w:rsid w:val="00141E06"/>
    <w:rsid w:val="00142F77"/>
    <w:rsid w:val="0014385D"/>
    <w:rsid w:val="001450B1"/>
    <w:rsid w:val="00146E31"/>
    <w:rsid w:val="00150E64"/>
    <w:rsid w:val="00151B18"/>
    <w:rsid w:val="001540AD"/>
    <w:rsid w:val="00155152"/>
    <w:rsid w:val="001554FF"/>
    <w:rsid w:val="00160D51"/>
    <w:rsid w:val="001646EC"/>
    <w:rsid w:val="0016477F"/>
    <w:rsid w:val="00164D6D"/>
    <w:rsid w:val="00173158"/>
    <w:rsid w:val="00173271"/>
    <w:rsid w:val="00177BCA"/>
    <w:rsid w:val="00177C2C"/>
    <w:rsid w:val="001851D5"/>
    <w:rsid w:val="00193994"/>
    <w:rsid w:val="001A0439"/>
    <w:rsid w:val="001A06EE"/>
    <w:rsid w:val="001A0C57"/>
    <w:rsid w:val="001A0F7B"/>
    <w:rsid w:val="001A1197"/>
    <w:rsid w:val="001A4145"/>
    <w:rsid w:val="001A4641"/>
    <w:rsid w:val="001B05E3"/>
    <w:rsid w:val="001B0FE0"/>
    <w:rsid w:val="001B14E7"/>
    <w:rsid w:val="001B18AF"/>
    <w:rsid w:val="001B3C4A"/>
    <w:rsid w:val="001B78D2"/>
    <w:rsid w:val="001C1AF4"/>
    <w:rsid w:val="001C3715"/>
    <w:rsid w:val="001C3778"/>
    <w:rsid w:val="001C4CF4"/>
    <w:rsid w:val="001C4D9A"/>
    <w:rsid w:val="001C70A2"/>
    <w:rsid w:val="001D208C"/>
    <w:rsid w:val="001D3917"/>
    <w:rsid w:val="001D39B7"/>
    <w:rsid w:val="001D5491"/>
    <w:rsid w:val="001D5E9E"/>
    <w:rsid w:val="001D66AB"/>
    <w:rsid w:val="001E2233"/>
    <w:rsid w:val="001E2D0A"/>
    <w:rsid w:val="001E3B2C"/>
    <w:rsid w:val="001E74D3"/>
    <w:rsid w:val="001F2918"/>
    <w:rsid w:val="001F33AE"/>
    <w:rsid w:val="001F3740"/>
    <w:rsid w:val="001F4399"/>
    <w:rsid w:val="001F46C1"/>
    <w:rsid w:val="001F633C"/>
    <w:rsid w:val="001F7220"/>
    <w:rsid w:val="001F774C"/>
    <w:rsid w:val="001F7C47"/>
    <w:rsid w:val="0020117C"/>
    <w:rsid w:val="00203E2E"/>
    <w:rsid w:val="002044AB"/>
    <w:rsid w:val="00212EAB"/>
    <w:rsid w:val="00214A08"/>
    <w:rsid w:val="00223E19"/>
    <w:rsid w:val="002247A9"/>
    <w:rsid w:val="00224829"/>
    <w:rsid w:val="00224BE5"/>
    <w:rsid w:val="00230A8D"/>
    <w:rsid w:val="002311BF"/>
    <w:rsid w:val="00233341"/>
    <w:rsid w:val="002338C7"/>
    <w:rsid w:val="00233B06"/>
    <w:rsid w:val="00233F21"/>
    <w:rsid w:val="00233FBD"/>
    <w:rsid w:val="002347D0"/>
    <w:rsid w:val="00235389"/>
    <w:rsid w:val="00236703"/>
    <w:rsid w:val="00236796"/>
    <w:rsid w:val="00236A9E"/>
    <w:rsid w:val="002401C6"/>
    <w:rsid w:val="002414A8"/>
    <w:rsid w:val="00242013"/>
    <w:rsid w:val="002433AD"/>
    <w:rsid w:val="00243600"/>
    <w:rsid w:val="00244147"/>
    <w:rsid w:val="00244BF9"/>
    <w:rsid w:val="00247826"/>
    <w:rsid w:val="00250129"/>
    <w:rsid w:val="0025195C"/>
    <w:rsid w:val="00252802"/>
    <w:rsid w:val="00254D60"/>
    <w:rsid w:val="00256142"/>
    <w:rsid w:val="002570DC"/>
    <w:rsid w:val="00257DAE"/>
    <w:rsid w:val="00260120"/>
    <w:rsid w:val="00260B40"/>
    <w:rsid w:val="002612EF"/>
    <w:rsid w:val="00261CCC"/>
    <w:rsid w:val="00263734"/>
    <w:rsid w:val="00263DF5"/>
    <w:rsid w:val="002640AE"/>
    <w:rsid w:val="00267F07"/>
    <w:rsid w:val="00271CB5"/>
    <w:rsid w:val="0027439D"/>
    <w:rsid w:val="002745B1"/>
    <w:rsid w:val="002750E5"/>
    <w:rsid w:val="002773B8"/>
    <w:rsid w:val="00277C10"/>
    <w:rsid w:val="00280FAE"/>
    <w:rsid w:val="00291966"/>
    <w:rsid w:val="00292CB2"/>
    <w:rsid w:val="00292D1A"/>
    <w:rsid w:val="002A15C4"/>
    <w:rsid w:val="002A2805"/>
    <w:rsid w:val="002A306E"/>
    <w:rsid w:val="002A36F5"/>
    <w:rsid w:val="002A66DC"/>
    <w:rsid w:val="002B1C72"/>
    <w:rsid w:val="002B3BEF"/>
    <w:rsid w:val="002B3F6F"/>
    <w:rsid w:val="002B4976"/>
    <w:rsid w:val="002B5EF5"/>
    <w:rsid w:val="002B76EE"/>
    <w:rsid w:val="002C03FD"/>
    <w:rsid w:val="002C0AB5"/>
    <w:rsid w:val="002C25ED"/>
    <w:rsid w:val="002C2A81"/>
    <w:rsid w:val="002C36EC"/>
    <w:rsid w:val="002C49C3"/>
    <w:rsid w:val="002C59E6"/>
    <w:rsid w:val="002C6346"/>
    <w:rsid w:val="002C6981"/>
    <w:rsid w:val="002C6D86"/>
    <w:rsid w:val="002D2211"/>
    <w:rsid w:val="002D4141"/>
    <w:rsid w:val="002D4A5C"/>
    <w:rsid w:val="002D5C96"/>
    <w:rsid w:val="002D60E8"/>
    <w:rsid w:val="002E3791"/>
    <w:rsid w:val="002F0B0B"/>
    <w:rsid w:val="002F111E"/>
    <w:rsid w:val="002F1CC0"/>
    <w:rsid w:val="002F4F9C"/>
    <w:rsid w:val="002F6AD7"/>
    <w:rsid w:val="002F7CEF"/>
    <w:rsid w:val="00301BA0"/>
    <w:rsid w:val="00301BC5"/>
    <w:rsid w:val="003027FE"/>
    <w:rsid w:val="00302FE8"/>
    <w:rsid w:val="00304EA0"/>
    <w:rsid w:val="00305436"/>
    <w:rsid w:val="00305EFB"/>
    <w:rsid w:val="00311524"/>
    <w:rsid w:val="00312F79"/>
    <w:rsid w:val="00315B73"/>
    <w:rsid w:val="0031662D"/>
    <w:rsid w:val="00320CCD"/>
    <w:rsid w:val="003219C1"/>
    <w:rsid w:val="00322A8F"/>
    <w:rsid w:val="00323A10"/>
    <w:rsid w:val="00323B02"/>
    <w:rsid w:val="00323CE3"/>
    <w:rsid w:val="003247CA"/>
    <w:rsid w:val="003252EF"/>
    <w:rsid w:val="003322F1"/>
    <w:rsid w:val="00332CA4"/>
    <w:rsid w:val="003332C5"/>
    <w:rsid w:val="00335F79"/>
    <w:rsid w:val="0033740E"/>
    <w:rsid w:val="00341AA1"/>
    <w:rsid w:val="00343714"/>
    <w:rsid w:val="003448DB"/>
    <w:rsid w:val="00345C70"/>
    <w:rsid w:val="00345C78"/>
    <w:rsid w:val="00345E2E"/>
    <w:rsid w:val="0035145F"/>
    <w:rsid w:val="0035233C"/>
    <w:rsid w:val="003544AC"/>
    <w:rsid w:val="0035609E"/>
    <w:rsid w:val="00361E4E"/>
    <w:rsid w:val="00363392"/>
    <w:rsid w:val="00363D39"/>
    <w:rsid w:val="00364550"/>
    <w:rsid w:val="0036615D"/>
    <w:rsid w:val="00370B5E"/>
    <w:rsid w:val="00372C1D"/>
    <w:rsid w:val="0037434C"/>
    <w:rsid w:val="003744EE"/>
    <w:rsid w:val="003767D1"/>
    <w:rsid w:val="003815A7"/>
    <w:rsid w:val="0038295C"/>
    <w:rsid w:val="00383AFB"/>
    <w:rsid w:val="00383C6E"/>
    <w:rsid w:val="00384CFB"/>
    <w:rsid w:val="00393065"/>
    <w:rsid w:val="00394C70"/>
    <w:rsid w:val="00395A9A"/>
    <w:rsid w:val="00396009"/>
    <w:rsid w:val="003963F1"/>
    <w:rsid w:val="00397B7E"/>
    <w:rsid w:val="003A00C6"/>
    <w:rsid w:val="003A1EBF"/>
    <w:rsid w:val="003A31A1"/>
    <w:rsid w:val="003A32E3"/>
    <w:rsid w:val="003B0070"/>
    <w:rsid w:val="003B220A"/>
    <w:rsid w:val="003B2C97"/>
    <w:rsid w:val="003B4B98"/>
    <w:rsid w:val="003C022E"/>
    <w:rsid w:val="003C0397"/>
    <w:rsid w:val="003C0B44"/>
    <w:rsid w:val="003C5021"/>
    <w:rsid w:val="003C5422"/>
    <w:rsid w:val="003C621E"/>
    <w:rsid w:val="003C6EBF"/>
    <w:rsid w:val="003D3474"/>
    <w:rsid w:val="003D42E3"/>
    <w:rsid w:val="003E177E"/>
    <w:rsid w:val="003E399A"/>
    <w:rsid w:val="003E4C19"/>
    <w:rsid w:val="003E52E5"/>
    <w:rsid w:val="003E6583"/>
    <w:rsid w:val="003F4B8A"/>
    <w:rsid w:val="003F58D2"/>
    <w:rsid w:val="003F74F9"/>
    <w:rsid w:val="003F7CE2"/>
    <w:rsid w:val="003F7EC2"/>
    <w:rsid w:val="004000EB"/>
    <w:rsid w:val="00402311"/>
    <w:rsid w:val="00402A79"/>
    <w:rsid w:val="00402C49"/>
    <w:rsid w:val="00403622"/>
    <w:rsid w:val="00404D4C"/>
    <w:rsid w:val="00405679"/>
    <w:rsid w:val="004060DA"/>
    <w:rsid w:val="0041014B"/>
    <w:rsid w:val="00411CA5"/>
    <w:rsid w:val="00412F04"/>
    <w:rsid w:val="00413503"/>
    <w:rsid w:val="004228B3"/>
    <w:rsid w:val="00430364"/>
    <w:rsid w:val="004309FB"/>
    <w:rsid w:val="00430D5F"/>
    <w:rsid w:val="00430DC7"/>
    <w:rsid w:val="00431807"/>
    <w:rsid w:val="00431DC5"/>
    <w:rsid w:val="0043567E"/>
    <w:rsid w:val="00440014"/>
    <w:rsid w:val="00442272"/>
    <w:rsid w:val="00444A1E"/>
    <w:rsid w:val="00446A82"/>
    <w:rsid w:val="004544C6"/>
    <w:rsid w:val="004571B9"/>
    <w:rsid w:val="00457C88"/>
    <w:rsid w:val="004627AF"/>
    <w:rsid w:val="00464CA7"/>
    <w:rsid w:val="004744D9"/>
    <w:rsid w:val="00476828"/>
    <w:rsid w:val="00476D17"/>
    <w:rsid w:val="00477D7E"/>
    <w:rsid w:val="00483A37"/>
    <w:rsid w:val="00483FE5"/>
    <w:rsid w:val="00484159"/>
    <w:rsid w:val="004909F7"/>
    <w:rsid w:val="0049258A"/>
    <w:rsid w:val="004955BF"/>
    <w:rsid w:val="004957C3"/>
    <w:rsid w:val="004A0F67"/>
    <w:rsid w:val="004A13DA"/>
    <w:rsid w:val="004A3351"/>
    <w:rsid w:val="004A340C"/>
    <w:rsid w:val="004A68E9"/>
    <w:rsid w:val="004B022A"/>
    <w:rsid w:val="004B0271"/>
    <w:rsid w:val="004B0CCB"/>
    <w:rsid w:val="004B2EF8"/>
    <w:rsid w:val="004B41FC"/>
    <w:rsid w:val="004B4449"/>
    <w:rsid w:val="004B621D"/>
    <w:rsid w:val="004B67E5"/>
    <w:rsid w:val="004C2C84"/>
    <w:rsid w:val="004C3C55"/>
    <w:rsid w:val="004C506B"/>
    <w:rsid w:val="004C5F89"/>
    <w:rsid w:val="004C7394"/>
    <w:rsid w:val="004D357F"/>
    <w:rsid w:val="004D36CA"/>
    <w:rsid w:val="004D5758"/>
    <w:rsid w:val="004D7185"/>
    <w:rsid w:val="004D7ACF"/>
    <w:rsid w:val="004D7B2A"/>
    <w:rsid w:val="004E3167"/>
    <w:rsid w:val="004E57DD"/>
    <w:rsid w:val="004E6842"/>
    <w:rsid w:val="004E7BA6"/>
    <w:rsid w:val="004E7BE8"/>
    <w:rsid w:val="004F101C"/>
    <w:rsid w:val="004F15D6"/>
    <w:rsid w:val="004F1FCA"/>
    <w:rsid w:val="004F30C2"/>
    <w:rsid w:val="004F428A"/>
    <w:rsid w:val="004F6389"/>
    <w:rsid w:val="004F65C1"/>
    <w:rsid w:val="00504E3E"/>
    <w:rsid w:val="00507A47"/>
    <w:rsid w:val="00510088"/>
    <w:rsid w:val="00511A3B"/>
    <w:rsid w:val="0051382C"/>
    <w:rsid w:val="00514348"/>
    <w:rsid w:val="00516D2F"/>
    <w:rsid w:val="005208DF"/>
    <w:rsid w:val="00521980"/>
    <w:rsid w:val="0052264E"/>
    <w:rsid w:val="00522BDC"/>
    <w:rsid w:val="005253BF"/>
    <w:rsid w:val="00526F07"/>
    <w:rsid w:val="00527C30"/>
    <w:rsid w:val="00530948"/>
    <w:rsid w:val="0053182B"/>
    <w:rsid w:val="00532254"/>
    <w:rsid w:val="00532428"/>
    <w:rsid w:val="005342DA"/>
    <w:rsid w:val="005344BC"/>
    <w:rsid w:val="00540862"/>
    <w:rsid w:val="00540BED"/>
    <w:rsid w:val="00540FF8"/>
    <w:rsid w:val="00541923"/>
    <w:rsid w:val="005449C2"/>
    <w:rsid w:val="00546F05"/>
    <w:rsid w:val="005514EE"/>
    <w:rsid w:val="00552B5F"/>
    <w:rsid w:val="00554ACD"/>
    <w:rsid w:val="00556241"/>
    <w:rsid w:val="00557C14"/>
    <w:rsid w:val="00561818"/>
    <w:rsid w:val="00566B31"/>
    <w:rsid w:val="005673B9"/>
    <w:rsid w:val="00571064"/>
    <w:rsid w:val="0057227B"/>
    <w:rsid w:val="005731AA"/>
    <w:rsid w:val="00581D1E"/>
    <w:rsid w:val="00583649"/>
    <w:rsid w:val="005839EF"/>
    <w:rsid w:val="005848D2"/>
    <w:rsid w:val="0058628B"/>
    <w:rsid w:val="0058672D"/>
    <w:rsid w:val="00591AED"/>
    <w:rsid w:val="00592056"/>
    <w:rsid w:val="00592625"/>
    <w:rsid w:val="00593311"/>
    <w:rsid w:val="00595060"/>
    <w:rsid w:val="005961E0"/>
    <w:rsid w:val="005A335D"/>
    <w:rsid w:val="005A375F"/>
    <w:rsid w:val="005A46F3"/>
    <w:rsid w:val="005A7C77"/>
    <w:rsid w:val="005B03D8"/>
    <w:rsid w:val="005B1588"/>
    <w:rsid w:val="005B2DDA"/>
    <w:rsid w:val="005B39D6"/>
    <w:rsid w:val="005B3C0A"/>
    <w:rsid w:val="005C2252"/>
    <w:rsid w:val="005C2627"/>
    <w:rsid w:val="005C3F16"/>
    <w:rsid w:val="005C6512"/>
    <w:rsid w:val="005C6E23"/>
    <w:rsid w:val="005C7394"/>
    <w:rsid w:val="005C7922"/>
    <w:rsid w:val="005C7FE7"/>
    <w:rsid w:val="005D0E69"/>
    <w:rsid w:val="005D0F1D"/>
    <w:rsid w:val="005D1730"/>
    <w:rsid w:val="005D183F"/>
    <w:rsid w:val="005D50FF"/>
    <w:rsid w:val="005E0A60"/>
    <w:rsid w:val="005E0C5E"/>
    <w:rsid w:val="005E1A7D"/>
    <w:rsid w:val="005E1C28"/>
    <w:rsid w:val="005E2AAB"/>
    <w:rsid w:val="005E5DD8"/>
    <w:rsid w:val="005F0F6F"/>
    <w:rsid w:val="005F0FA8"/>
    <w:rsid w:val="005F3111"/>
    <w:rsid w:val="005F5600"/>
    <w:rsid w:val="005F6A6B"/>
    <w:rsid w:val="006003F1"/>
    <w:rsid w:val="00600D2E"/>
    <w:rsid w:val="00601EB9"/>
    <w:rsid w:val="00604B2F"/>
    <w:rsid w:val="00605D34"/>
    <w:rsid w:val="00605EEF"/>
    <w:rsid w:val="00606567"/>
    <w:rsid w:val="00610E92"/>
    <w:rsid w:val="00614412"/>
    <w:rsid w:val="006168D2"/>
    <w:rsid w:val="00616BB6"/>
    <w:rsid w:val="00621857"/>
    <w:rsid w:val="00621B32"/>
    <w:rsid w:val="00621C22"/>
    <w:rsid w:val="00623438"/>
    <w:rsid w:val="00623739"/>
    <w:rsid w:val="00627712"/>
    <w:rsid w:val="006302B7"/>
    <w:rsid w:val="00630DF4"/>
    <w:rsid w:val="00631FF7"/>
    <w:rsid w:val="006358E7"/>
    <w:rsid w:val="00642E92"/>
    <w:rsid w:val="006432CE"/>
    <w:rsid w:val="00647295"/>
    <w:rsid w:val="00652467"/>
    <w:rsid w:val="00656B8F"/>
    <w:rsid w:val="00656D53"/>
    <w:rsid w:val="006575F4"/>
    <w:rsid w:val="006578D1"/>
    <w:rsid w:val="00657B2A"/>
    <w:rsid w:val="00660914"/>
    <w:rsid w:val="00661634"/>
    <w:rsid w:val="00661FB3"/>
    <w:rsid w:val="006676CC"/>
    <w:rsid w:val="00672B33"/>
    <w:rsid w:val="006743CD"/>
    <w:rsid w:val="00677055"/>
    <w:rsid w:val="00677CC2"/>
    <w:rsid w:val="00682870"/>
    <w:rsid w:val="00684D2E"/>
    <w:rsid w:val="00685565"/>
    <w:rsid w:val="00685B9A"/>
    <w:rsid w:val="00695437"/>
    <w:rsid w:val="006955C3"/>
    <w:rsid w:val="00696564"/>
    <w:rsid w:val="006A1335"/>
    <w:rsid w:val="006A437D"/>
    <w:rsid w:val="006A5C36"/>
    <w:rsid w:val="006B3E23"/>
    <w:rsid w:val="006C0728"/>
    <w:rsid w:val="006C156E"/>
    <w:rsid w:val="006C4B6C"/>
    <w:rsid w:val="006C6D15"/>
    <w:rsid w:val="006D349B"/>
    <w:rsid w:val="006D5D1A"/>
    <w:rsid w:val="006D721F"/>
    <w:rsid w:val="006E1B64"/>
    <w:rsid w:val="006E1FF5"/>
    <w:rsid w:val="006E278E"/>
    <w:rsid w:val="006E5412"/>
    <w:rsid w:val="006E5E28"/>
    <w:rsid w:val="006F10B1"/>
    <w:rsid w:val="006F2B36"/>
    <w:rsid w:val="006F2E4C"/>
    <w:rsid w:val="006F3A19"/>
    <w:rsid w:val="006F490B"/>
    <w:rsid w:val="006F59B1"/>
    <w:rsid w:val="006F7EBE"/>
    <w:rsid w:val="00700D52"/>
    <w:rsid w:val="007064AA"/>
    <w:rsid w:val="00706BDA"/>
    <w:rsid w:val="00707DC1"/>
    <w:rsid w:val="0071141D"/>
    <w:rsid w:val="00711A7F"/>
    <w:rsid w:val="00714136"/>
    <w:rsid w:val="007221AA"/>
    <w:rsid w:val="00725EBF"/>
    <w:rsid w:val="00726109"/>
    <w:rsid w:val="00726244"/>
    <w:rsid w:val="00732826"/>
    <w:rsid w:val="007331DC"/>
    <w:rsid w:val="007359F0"/>
    <w:rsid w:val="0073660A"/>
    <w:rsid w:val="00736648"/>
    <w:rsid w:val="00736806"/>
    <w:rsid w:val="00743D77"/>
    <w:rsid w:val="0074646E"/>
    <w:rsid w:val="00750099"/>
    <w:rsid w:val="00751419"/>
    <w:rsid w:val="007539EC"/>
    <w:rsid w:val="00754F0D"/>
    <w:rsid w:val="00756193"/>
    <w:rsid w:val="00756525"/>
    <w:rsid w:val="0075762C"/>
    <w:rsid w:val="00757BDA"/>
    <w:rsid w:val="00760912"/>
    <w:rsid w:val="00762F13"/>
    <w:rsid w:val="007635C1"/>
    <w:rsid w:val="00763736"/>
    <w:rsid w:val="007642EE"/>
    <w:rsid w:val="00766450"/>
    <w:rsid w:val="00766A36"/>
    <w:rsid w:val="007709E8"/>
    <w:rsid w:val="00770A3B"/>
    <w:rsid w:val="00771F17"/>
    <w:rsid w:val="00773728"/>
    <w:rsid w:val="00774090"/>
    <w:rsid w:val="00775E4E"/>
    <w:rsid w:val="00776EF9"/>
    <w:rsid w:val="0078174A"/>
    <w:rsid w:val="00783534"/>
    <w:rsid w:val="00783626"/>
    <w:rsid w:val="00783E0D"/>
    <w:rsid w:val="00784580"/>
    <w:rsid w:val="00790D0B"/>
    <w:rsid w:val="007912FC"/>
    <w:rsid w:val="00791700"/>
    <w:rsid w:val="00793ED5"/>
    <w:rsid w:val="007962C3"/>
    <w:rsid w:val="00797649"/>
    <w:rsid w:val="007A0233"/>
    <w:rsid w:val="007A3650"/>
    <w:rsid w:val="007A3A66"/>
    <w:rsid w:val="007A3ADC"/>
    <w:rsid w:val="007A53B1"/>
    <w:rsid w:val="007A594B"/>
    <w:rsid w:val="007A68C1"/>
    <w:rsid w:val="007A7274"/>
    <w:rsid w:val="007A7E6B"/>
    <w:rsid w:val="007B0E89"/>
    <w:rsid w:val="007B2ABC"/>
    <w:rsid w:val="007B3C87"/>
    <w:rsid w:val="007B5A0B"/>
    <w:rsid w:val="007B5E7B"/>
    <w:rsid w:val="007B6BDD"/>
    <w:rsid w:val="007B6FEA"/>
    <w:rsid w:val="007B7260"/>
    <w:rsid w:val="007B7A6B"/>
    <w:rsid w:val="007C29AB"/>
    <w:rsid w:val="007C365B"/>
    <w:rsid w:val="007C6580"/>
    <w:rsid w:val="007D24B9"/>
    <w:rsid w:val="007D42F0"/>
    <w:rsid w:val="007D6102"/>
    <w:rsid w:val="007D7B75"/>
    <w:rsid w:val="007D7CEF"/>
    <w:rsid w:val="007E1E24"/>
    <w:rsid w:val="007E27D5"/>
    <w:rsid w:val="007E447C"/>
    <w:rsid w:val="007F0434"/>
    <w:rsid w:val="007F0C68"/>
    <w:rsid w:val="007F5F12"/>
    <w:rsid w:val="00802606"/>
    <w:rsid w:val="008041D5"/>
    <w:rsid w:val="00805D5D"/>
    <w:rsid w:val="008064A2"/>
    <w:rsid w:val="00806D5D"/>
    <w:rsid w:val="00807F8B"/>
    <w:rsid w:val="008119D8"/>
    <w:rsid w:val="00811DA5"/>
    <w:rsid w:val="00812D40"/>
    <w:rsid w:val="0081356F"/>
    <w:rsid w:val="0081424F"/>
    <w:rsid w:val="00814521"/>
    <w:rsid w:val="008149BA"/>
    <w:rsid w:val="0081538D"/>
    <w:rsid w:val="008153DF"/>
    <w:rsid w:val="00816C4B"/>
    <w:rsid w:val="00817515"/>
    <w:rsid w:val="008175B1"/>
    <w:rsid w:val="008176B8"/>
    <w:rsid w:val="00823C94"/>
    <w:rsid w:val="00823E27"/>
    <w:rsid w:val="00826786"/>
    <w:rsid w:val="00830536"/>
    <w:rsid w:val="0083157C"/>
    <w:rsid w:val="00832D3E"/>
    <w:rsid w:val="00833A85"/>
    <w:rsid w:val="00834DE3"/>
    <w:rsid w:val="00837AB7"/>
    <w:rsid w:val="00837E77"/>
    <w:rsid w:val="00841DA2"/>
    <w:rsid w:val="00843232"/>
    <w:rsid w:val="008445E8"/>
    <w:rsid w:val="00845792"/>
    <w:rsid w:val="00845F33"/>
    <w:rsid w:val="00853212"/>
    <w:rsid w:val="00853A36"/>
    <w:rsid w:val="008550E4"/>
    <w:rsid w:val="00855AEB"/>
    <w:rsid w:val="008575FF"/>
    <w:rsid w:val="00857A00"/>
    <w:rsid w:val="008609DF"/>
    <w:rsid w:val="00861AD9"/>
    <w:rsid w:val="00862072"/>
    <w:rsid w:val="00863280"/>
    <w:rsid w:val="0086393C"/>
    <w:rsid w:val="00864D53"/>
    <w:rsid w:val="00866D73"/>
    <w:rsid w:val="00867604"/>
    <w:rsid w:val="00867D6D"/>
    <w:rsid w:val="00872522"/>
    <w:rsid w:val="008770C2"/>
    <w:rsid w:val="00877E4C"/>
    <w:rsid w:val="00881C1E"/>
    <w:rsid w:val="008868A2"/>
    <w:rsid w:val="00887C88"/>
    <w:rsid w:val="00890E35"/>
    <w:rsid w:val="00891EE6"/>
    <w:rsid w:val="00893E48"/>
    <w:rsid w:val="008949AC"/>
    <w:rsid w:val="00895513"/>
    <w:rsid w:val="00895639"/>
    <w:rsid w:val="008975A4"/>
    <w:rsid w:val="008A1105"/>
    <w:rsid w:val="008A3090"/>
    <w:rsid w:val="008A39EA"/>
    <w:rsid w:val="008A4DD6"/>
    <w:rsid w:val="008A6C18"/>
    <w:rsid w:val="008A6CB5"/>
    <w:rsid w:val="008A6E68"/>
    <w:rsid w:val="008B2A79"/>
    <w:rsid w:val="008B32CF"/>
    <w:rsid w:val="008C0B59"/>
    <w:rsid w:val="008C2531"/>
    <w:rsid w:val="008C2705"/>
    <w:rsid w:val="008C2B98"/>
    <w:rsid w:val="008C3B0C"/>
    <w:rsid w:val="008C3E59"/>
    <w:rsid w:val="008C4957"/>
    <w:rsid w:val="008C6068"/>
    <w:rsid w:val="008C7EDD"/>
    <w:rsid w:val="008D17DD"/>
    <w:rsid w:val="008D59B3"/>
    <w:rsid w:val="008E0F3A"/>
    <w:rsid w:val="008E1491"/>
    <w:rsid w:val="008E172F"/>
    <w:rsid w:val="008E38E3"/>
    <w:rsid w:val="008F1097"/>
    <w:rsid w:val="008F1CB0"/>
    <w:rsid w:val="008F220A"/>
    <w:rsid w:val="008F482B"/>
    <w:rsid w:val="008F6592"/>
    <w:rsid w:val="008F6F6D"/>
    <w:rsid w:val="00900715"/>
    <w:rsid w:val="00901C83"/>
    <w:rsid w:val="009020CF"/>
    <w:rsid w:val="00902E00"/>
    <w:rsid w:val="00902EA4"/>
    <w:rsid w:val="00904BDD"/>
    <w:rsid w:val="00904C40"/>
    <w:rsid w:val="00905856"/>
    <w:rsid w:val="00907C3F"/>
    <w:rsid w:val="00910C98"/>
    <w:rsid w:val="00910FC6"/>
    <w:rsid w:val="0091100B"/>
    <w:rsid w:val="00912549"/>
    <w:rsid w:val="00924E03"/>
    <w:rsid w:val="009256CE"/>
    <w:rsid w:val="00926758"/>
    <w:rsid w:val="009269E7"/>
    <w:rsid w:val="0093239A"/>
    <w:rsid w:val="00933071"/>
    <w:rsid w:val="00933161"/>
    <w:rsid w:val="0093379B"/>
    <w:rsid w:val="00934D6D"/>
    <w:rsid w:val="00937251"/>
    <w:rsid w:val="009429E2"/>
    <w:rsid w:val="00942E94"/>
    <w:rsid w:val="00945510"/>
    <w:rsid w:val="0094593D"/>
    <w:rsid w:val="009470B1"/>
    <w:rsid w:val="00950D20"/>
    <w:rsid w:val="00951718"/>
    <w:rsid w:val="009534BD"/>
    <w:rsid w:val="00953F4B"/>
    <w:rsid w:val="009550C1"/>
    <w:rsid w:val="00955BBC"/>
    <w:rsid w:val="009560BB"/>
    <w:rsid w:val="009568A1"/>
    <w:rsid w:val="00957CAA"/>
    <w:rsid w:val="00961312"/>
    <w:rsid w:val="00962DA6"/>
    <w:rsid w:val="0096327A"/>
    <w:rsid w:val="00964F2F"/>
    <w:rsid w:val="009660E0"/>
    <w:rsid w:val="00966D06"/>
    <w:rsid w:val="00967E1D"/>
    <w:rsid w:val="00971CE8"/>
    <w:rsid w:val="009721AE"/>
    <w:rsid w:val="00972897"/>
    <w:rsid w:val="00972F49"/>
    <w:rsid w:val="0097369C"/>
    <w:rsid w:val="009738E4"/>
    <w:rsid w:val="00973B25"/>
    <w:rsid w:val="0097527D"/>
    <w:rsid w:val="00975914"/>
    <w:rsid w:val="00975C37"/>
    <w:rsid w:val="00976441"/>
    <w:rsid w:val="0097668A"/>
    <w:rsid w:val="00976E9D"/>
    <w:rsid w:val="009777E7"/>
    <w:rsid w:val="009818C9"/>
    <w:rsid w:val="009844D2"/>
    <w:rsid w:val="0099002B"/>
    <w:rsid w:val="00991371"/>
    <w:rsid w:val="009913F4"/>
    <w:rsid w:val="00994FF8"/>
    <w:rsid w:val="00995863"/>
    <w:rsid w:val="009962D0"/>
    <w:rsid w:val="00996B89"/>
    <w:rsid w:val="00997EAA"/>
    <w:rsid w:val="009A0028"/>
    <w:rsid w:val="009A00D4"/>
    <w:rsid w:val="009A0F69"/>
    <w:rsid w:val="009A5ECC"/>
    <w:rsid w:val="009A6924"/>
    <w:rsid w:val="009B1022"/>
    <w:rsid w:val="009B4D37"/>
    <w:rsid w:val="009B540E"/>
    <w:rsid w:val="009B5D57"/>
    <w:rsid w:val="009B5DCB"/>
    <w:rsid w:val="009B6FFA"/>
    <w:rsid w:val="009C03B0"/>
    <w:rsid w:val="009C0D1A"/>
    <w:rsid w:val="009C105B"/>
    <w:rsid w:val="009C190A"/>
    <w:rsid w:val="009C1FE6"/>
    <w:rsid w:val="009C2852"/>
    <w:rsid w:val="009C35FB"/>
    <w:rsid w:val="009C5350"/>
    <w:rsid w:val="009C67AE"/>
    <w:rsid w:val="009C6B90"/>
    <w:rsid w:val="009C78F3"/>
    <w:rsid w:val="009C7EA4"/>
    <w:rsid w:val="009D00BF"/>
    <w:rsid w:val="009D550C"/>
    <w:rsid w:val="009D6AA5"/>
    <w:rsid w:val="009D7165"/>
    <w:rsid w:val="009E0E0E"/>
    <w:rsid w:val="009E4CD5"/>
    <w:rsid w:val="009E5400"/>
    <w:rsid w:val="009E5D16"/>
    <w:rsid w:val="009E775E"/>
    <w:rsid w:val="009F2FC1"/>
    <w:rsid w:val="009F5957"/>
    <w:rsid w:val="00A00090"/>
    <w:rsid w:val="00A01A02"/>
    <w:rsid w:val="00A023BF"/>
    <w:rsid w:val="00A02F12"/>
    <w:rsid w:val="00A03850"/>
    <w:rsid w:val="00A07412"/>
    <w:rsid w:val="00A16B9B"/>
    <w:rsid w:val="00A17076"/>
    <w:rsid w:val="00A204D3"/>
    <w:rsid w:val="00A209F7"/>
    <w:rsid w:val="00A20B0D"/>
    <w:rsid w:val="00A220D8"/>
    <w:rsid w:val="00A22605"/>
    <w:rsid w:val="00A22A26"/>
    <w:rsid w:val="00A270D6"/>
    <w:rsid w:val="00A27124"/>
    <w:rsid w:val="00A309EB"/>
    <w:rsid w:val="00A33326"/>
    <w:rsid w:val="00A3371E"/>
    <w:rsid w:val="00A37817"/>
    <w:rsid w:val="00A3793E"/>
    <w:rsid w:val="00A40DA7"/>
    <w:rsid w:val="00A4300C"/>
    <w:rsid w:val="00A461A3"/>
    <w:rsid w:val="00A5096D"/>
    <w:rsid w:val="00A52E3A"/>
    <w:rsid w:val="00A54173"/>
    <w:rsid w:val="00A55554"/>
    <w:rsid w:val="00A56BFB"/>
    <w:rsid w:val="00A60FCF"/>
    <w:rsid w:val="00A61A7F"/>
    <w:rsid w:val="00A62FF3"/>
    <w:rsid w:val="00A638BD"/>
    <w:rsid w:val="00A65E82"/>
    <w:rsid w:val="00A66BB5"/>
    <w:rsid w:val="00A67427"/>
    <w:rsid w:val="00A703D7"/>
    <w:rsid w:val="00A72618"/>
    <w:rsid w:val="00A77820"/>
    <w:rsid w:val="00A77C1D"/>
    <w:rsid w:val="00A80B6E"/>
    <w:rsid w:val="00A81CB9"/>
    <w:rsid w:val="00A82106"/>
    <w:rsid w:val="00A82ACB"/>
    <w:rsid w:val="00A85491"/>
    <w:rsid w:val="00A85516"/>
    <w:rsid w:val="00A85D4F"/>
    <w:rsid w:val="00A904FF"/>
    <w:rsid w:val="00A93A85"/>
    <w:rsid w:val="00AA07C3"/>
    <w:rsid w:val="00AA5576"/>
    <w:rsid w:val="00AA5ADE"/>
    <w:rsid w:val="00AA7421"/>
    <w:rsid w:val="00AB0F9F"/>
    <w:rsid w:val="00AB1151"/>
    <w:rsid w:val="00AB1603"/>
    <w:rsid w:val="00AB4316"/>
    <w:rsid w:val="00AB5B01"/>
    <w:rsid w:val="00AB5FA3"/>
    <w:rsid w:val="00AB7994"/>
    <w:rsid w:val="00AC005B"/>
    <w:rsid w:val="00AC2EB3"/>
    <w:rsid w:val="00AC325C"/>
    <w:rsid w:val="00AC3B5E"/>
    <w:rsid w:val="00AC40D8"/>
    <w:rsid w:val="00AC525C"/>
    <w:rsid w:val="00AC5A9E"/>
    <w:rsid w:val="00AC7155"/>
    <w:rsid w:val="00AD1A62"/>
    <w:rsid w:val="00AD2E6E"/>
    <w:rsid w:val="00AD7375"/>
    <w:rsid w:val="00AD7D3C"/>
    <w:rsid w:val="00AE0219"/>
    <w:rsid w:val="00AE052D"/>
    <w:rsid w:val="00AE08CA"/>
    <w:rsid w:val="00AE15D4"/>
    <w:rsid w:val="00AE7EB1"/>
    <w:rsid w:val="00AF03BD"/>
    <w:rsid w:val="00AF33E7"/>
    <w:rsid w:val="00AF3673"/>
    <w:rsid w:val="00AF5F8E"/>
    <w:rsid w:val="00AF7B52"/>
    <w:rsid w:val="00B00C4F"/>
    <w:rsid w:val="00B012CA"/>
    <w:rsid w:val="00B01ECD"/>
    <w:rsid w:val="00B01F4D"/>
    <w:rsid w:val="00B02844"/>
    <w:rsid w:val="00B0309C"/>
    <w:rsid w:val="00B05860"/>
    <w:rsid w:val="00B0593B"/>
    <w:rsid w:val="00B07373"/>
    <w:rsid w:val="00B0743D"/>
    <w:rsid w:val="00B10A3C"/>
    <w:rsid w:val="00B12001"/>
    <w:rsid w:val="00B13BBC"/>
    <w:rsid w:val="00B1419B"/>
    <w:rsid w:val="00B15C91"/>
    <w:rsid w:val="00B1613A"/>
    <w:rsid w:val="00B16A95"/>
    <w:rsid w:val="00B16CF9"/>
    <w:rsid w:val="00B173B8"/>
    <w:rsid w:val="00B202F5"/>
    <w:rsid w:val="00B25E2B"/>
    <w:rsid w:val="00B26A82"/>
    <w:rsid w:val="00B31031"/>
    <w:rsid w:val="00B311DA"/>
    <w:rsid w:val="00B32327"/>
    <w:rsid w:val="00B348A8"/>
    <w:rsid w:val="00B35DB0"/>
    <w:rsid w:val="00B37B39"/>
    <w:rsid w:val="00B40080"/>
    <w:rsid w:val="00B44DE1"/>
    <w:rsid w:val="00B44F12"/>
    <w:rsid w:val="00B45A2B"/>
    <w:rsid w:val="00B47B51"/>
    <w:rsid w:val="00B47C1B"/>
    <w:rsid w:val="00B50195"/>
    <w:rsid w:val="00B503DF"/>
    <w:rsid w:val="00B519F9"/>
    <w:rsid w:val="00B52637"/>
    <w:rsid w:val="00B52A83"/>
    <w:rsid w:val="00B54A2E"/>
    <w:rsid w:val="00B54F84"/>
    <w:rsid w:val="00B55665"/>
    <w:rsid w:val="00B64B7A"/>
    <w:rsid w:val="00B67A0B"/>
    <w:rsid w:val="00B725A5"/>
    <w:rsid w:val="00B754D7"/>
    <w:rsid w:val="00B77E20"/>
    <w:rsid w:val="00B77EE8"/>
    <w:rsid w:val="00B8145F"/>
    <w:rsid w:val="00B84687"/>
    <w:rsid w:val="00B862EE"/>
    <w:rsid w:val="00B864E6"/>
    <w:rsid w:val="00B90880"/>
    <w:rsid w:val="00B90AF3"/>
    <w:rsid w:val="00B93B8B"/>
    <w:rsid w:val="00B94119"/>
    <w:rsid w:val="00BA0A3B"/>
    <w:rsid w:val="00BA3A62"/>
    <w:rsid w:val="00BA5283"/>
    <w:rsid w:val="00BA62DD"/>
    <w:rsid w:val="00BA7594"/>
    <w:rsid w:val="00BB11F2"/>
    <w:rsid w:val="00BB2423"/>
    <w:rsid w:val="00BB271E"/>
    <w:rsid w:val="00BB2967"/>
    <w:rsid w:val="00BB7A4A"/>
    <w:rsid w:val="00BC0F7A"/>
    <w:rsid w:val="00BC5D4A"/>
    <w:rsid w:val="00BD35A1"/>
    <w:rsid w:val="00BD583C"/>
    <w:rsid w:val="00BE0E3B"/>
    <w:rsid w:val="00BE12F6"/>
    <w:rsid w:val="00BE27F8"/>
    <w:rsid w:val="00BE4317"/>
    <w:rsid w:val="00BE49EC"/>
    <w:rsid w:val="00BF0E67"/>
    <w:rsid w:val="00BF1E13"/>
    <w:rsid w:val="00BF33A2"/>
    <w:rsid w:val="00BF7685"/>
    <w:rsid w:val="00BF7796"/>
    <w:rsid w:val="00C027FB"/>
    <w:rsid w:val="00C101BE"/>
    <w:rsid w:val="00C11EB4"/>
    <w:rsid w:val="00C12920"/>
    <w:rsid w:val="00C15973"/>
    <w:rsid w:val="00C1647E"/>
    <w:rsid w:val="00C16FF7"/>
    <w:rsid w:val="00C20435"/>
    <w:rsid w:val="00C211D6"/>
    <w:rsid w:val="00C2137D"/>
    <w:rsid w:val="00C25264"/>
    <w:rsid w:val="00C25F73"/>
    <w:rsid w:val="00C31842"/>
    <w:rsid w:val="00C33501"/>
    <w:rsid w:val="00C3577D"/>
    <w:rsid w:val="00C35A47"/>
    <w:rsid w:val="00C35AC5"/>
    <w:rsid w:val="00C36476"/>
    <w:rsid w:val="00C375AC"/>
    <w:rsid w:val="00C420D5"/>
    <w:rsid w:val="00C42601"/>
    <w:rsid w:val="00C4468B"/>
    <w:rsid w:val="00C44C45"/>
    <w:rsid w:val="00C459E6"/>
    <w:rsid w:val="00C46D14"/>
    <w:rsid w:val="00C46DB8"/>
    <w:rsid w:val="00C47D84"/>
    <w:rsid w:val="00C50885"/>
    <w:rsid w:val="00C51B0D"/>
    <w:rsid w:val="00C52980"/>
    <w:rsid w:val="00C52A0D"/>
    <w:rsid w:val="00C52B4B"/>
    <w:rsid w:val="00C53523"/>
    <w:rsid w:val="00C549A1"/>
    <w:rsid w:val="00C568C8"/>
    <w:rsid w:val="00C56C95"/>
    <w:rsid w:val="00C60D73"/>
    <w:rsid w:val="00C61525"/>
    <w:rsid w:val="00C61F3F"/>
    <w:rsid w:val="00C6431A"/>
    <w:rsid w:val="00C65C98"/>
    <w:rsid w:val="00C71237"/>
    <w:rsid w:val="00C736D2"/>
    <w:rsid w:val="00C73AEE"/>
    <w:rsid w:val="00C75342"/>
    <w:rsid w:val="00C77976"/>
    <w:rsid w:val="00C77A2F"/>
    <w:rsid w:val="00C8051A"/>
    <w:rsid w:val="00C82CDA"/>
    <w:rsid w:val="00C833AA"/>
    <w:rsid w:val="00C84CD4"/>
    <w:rsid w:val="00C858EC"/>
    <w:rsid w:val="00C8659C"/>
    <w:rsid w:val="00C87895"/>
    <w:rsid w:val="00C909F2"/>
    <w:rsid w:val="00C94090"/>
    <w:rsid w:val="00C94424"/>
    <w:rsid w:val="00C95EB4"/>
    <w:rsid w:val="00CA3FEB"/>
    <w:rsid w:val="00CA7AE5"/>
    <w:rsid w:val="00CB26ED"/>
    <w:rsid w:val="00CB355A"/>
    <w:rsid w:val="00CB4669"/>
    <w:rsid w:val="00CB4A8B"/>
    <w:rsid w:val="00CB4D4F"/>
    <w:rsid w:val="00CB6A2C"/>
    <w:rsid w:val="00CB7CDC"/>
    <w:rsid w:val="00CC0B21"/>
    <w:rsid w:val="00CC2F2B"/>
    <w:rsid w:val="00CC3204"/>
    <w:rsid w:val="00CC3915"/>
    <w:rsid w:val="00CC39EB"/>
    <w:rsid w:val="00CC3BB1"/>
    <w:rsid w:val="00CC76D7"/>
    <w:rsid w:val="00CC7755"/>
    <w:rsid w:val="00CD14B3"/>
    <w:rsid w:val="00CD150F"/>
    <w:rsid w:val="00CD2EC4"/>
    <w:rsid w:val="00CD4149"/>
    <w:rsid w:val="00CD4A9A"/>
    <w:rsid w:val="00CE2E0C"/>
    <w:rsid w:val="00CE5160"/>
    <w:rsid w:val="00CE6BE4"/>
    <w:rsid w:val="00CF37E1"/>
    <w:rsid w:val="00CF74E5"/>
    <w:rsid w:val="00CF752F"/>
    <w:rsid w:val="00D00987"/>
    <w:rsid w:val="00D0101B"/>
    <w:rsid w:val="00D05F06"/>
    <w:rsid w:val="00D063E5"/>
    <w:rsid w:val="00D06872"/>
    <w:rsid w:val="00D129AB"/>
    <w:rsid w:val="00D140FB"/>
    <w:rsid w:val="00D17AC4"/>
    <w:rsid w:val="00D20259"/>
    <w:rsid w:val="00D20CE6"/>
    <w:rsid w:val="00D21666"/>
    <w:rsid w:val="00D2306D"/>
    <w:rsid w:val="00D232D2"/>
    <w:rsid w:val="00D2565A"/>
    <w:rsid w:val="00D25964"/>
    <w:rsid w:val="00D30D94"/>
    <w:rsid w:val="00D30F41"/>
    <w:rsid w:val="00D31A32"/>
    <w:rsid w:val="00D336B8"/>
    <w:rsid w:val="00D3530D"/>
    <w:rsid w:val="00D3549D"/>
    <w:rsid w:val="00D414FC"/>
    <w:rsid w:val="00D41522"/>
    <w:rsid w:val="00D44133"/>
    <w:rsid w:val="00D461A6"/>
    <w:rsid w:val="00D523EA"/>
    <w:rsid w:val="00D563AE"/>
    <w:rsid w:val="00D5722D"/>
    <w:rsid w:val="00D572A9"/>
    <w:rsid w:val="00D578E1"/>
    <w:rsid w:val="00D61D78"/>
    <w:rsid w:val="00D62F9F"/>
    <w:rsid w:val="00D631E5"/>
    <w:rsid w:val="00D636AC"/>
    <w:rsid w:val="00D64432"/>
    <w:rsid w:val="00D670B4"/>
    <w:rsid w:val="00D71626"/>
    <w:rsid w:val="00D7195B"/>
    <w:rsid w:val="00D72F89"/>
    <w:rsid w:val="00D73503"/>
    <w:rsid w:val="00D75D30"/>
    <w:rsid w:val="00D76427"/>
    <w:rsid w:val="00D764F8"/>
    <w:rsid w:val="00D77C77"/>
    <w:rsid w:val="00D77C8C"/>
    <w:rsid w:val="00D81194"/>
    <w:rsid w:val="00D8266E"/>
    <w:rsid w:val="00D83B1C"/>
    <w:rsid w:val="00D8484A"/>
    <w:rsid w:val="00D84C34"/>
    <w:rsid w:val="00D852B5"/>
    <w:rsid w:val="00D8653D"/>
    <w:rsid w:val="00D93519"/>
    <w:rsid w:val="00D94F8E"/>
    <w:rsid w:val="00D96798"/>
    <w:rsid w:val="00DA2684"/>
    <w:rsid w:val="00DB29B8"/>
    <w:rsid w:val="00DB3191"/>
    <w:rsid w:val="00DB3B84"/>
    <w:rsid w:val="00DB4AF2"/>
    <w:rsid w:val="00DB4ECF"/>
    <w:rsid w:val="00DC0B73"/>
    <w:rsid w:val="00DC2A9C"/>
    <w:rsid w:val="00DC3F83"/>
    <w:rsid w:val="00DC46DA"/>
    <w:rsid w:val="00DC47DF"/>
    <w:rsid w:val="00DC5901"/>
    <w:rsid w:val="00DD038C"/>
    <w:rsid w:val="00DD221C"/>
    <w:rsid w:val="00DD332A"/>
    <w:rsid w:val="00DD3D9B"/>
    <w:rsid w:val="00DD5D49"/>
    <w:rsid w:val="00DD7D61"/>
    <w:rsid w:val="00DE03D1"/>
    <w:rsid w:val="00DE06DD"/>
    <w:rsid w:val="00DE0D5E"/>
    <w:rsid w:val="00DE2C06"/>
    <w:rsid w:val="00DE6E66"/>
    <w:rsid w:val="00DE7537"/>
    <w:rsid w:val="00DF2CC2"/>
    <w:rsid w:val="00DF3D69"/>
    <w:rsid w:val="00DF59FB"/>
    <w:rsid w:val="00DF61DD"/>
    <w:rsid w:val="00DF74E3"/>
    <w:rsid w:val="00DF7FEA"/>
    <w:rsid w:val="00E038AA"/>
    <w:rsid w:val="00E0526D"/>
    <w:rsid w:val="00E078A6"/>
    <w:rsid w:val="00E10027"/>
    <w:rsid w:val="00E101DF"/>
    <w:rsid w:val="00E11B4C"/>
    <w:rsid w:val="00E12DCB"/>
    <w:rsid w:val="00E12F01"/>
    <w:rsid w:val="00E1647E"/>
    <w:rsid w:val="00E171DC"/>
    <w:rsid w:val="00E24A59"/>
    <w:rsid w:val="00E267A1"/>
    <w:rsid w:val="00E27C86"/>
    <w:rsid w:val="00E3170C"/>
    <w:rsid w:val="00E31FA8"/>
    <w:rsid w:val="00E32BB9"/>
    <w:rsid w:val="00E3409D"/>
    <w:rsid w:val="00E3574A"/>
    <w:rsid w:val="00E40A30"/>
    <w:rsid w:val="00E418C0"/>
    <w:rsid w:val="00E418D7"/>
    <w:rsid w:val="00E42B13"/>
    <w:rsid w:val="00E44B5E"/>
    <w:rsid w:val="00E46286"/>
    <w:rsid w:val="00E466E4"/>
    <w:rsid w:val="00E467AA"/>
    <w:rsid w:val="00E46908"/>
    <w:rsid w:val="00E47218"/>
    <w:rsid w:val="00E5070A"/>
    <w:rsid w:val="00E5263F"/>
    <w:rsid w:val="00E52E3A"/>
    <w:rsid w:val="00E53C81"/>
    <w:rsid w:val="00E547CD"/>
    <w:rsid w:val="00E60B49"/>
    <w:rsid w:val="00E616E0"/>
    <w:rsid w:val="00E63D1D"/>
    <w:rsid w:val="00E643A4"/>
    <w:rsid w:val="00E6565A"/>
    <w:rsid w:val="00E70150"/>
    <w:rsid w:val="00E75168"/>
    <w:rsid w:val="00E75314"/>
    <w:rsid w:val="00E762D2"/>
    <w:rsid w:val="00E76303"/>
    <w:rsid w:val="00E77281"/>
    <w:rsid w:val="00E7763D"/>
    <w:rsid w:val="00E801B5"/>
    <w:rsid w:val="00E82515"/>
    <w:rsid w:val="00E827F8"/>
    <w:rsid w:val="00E82861"/>
    <w:rsid w:val="00E828C5"/>
    <w:rsid w:val="00E870B3"/>
    <w:rsid w:val="00E878B4"/>
    <w:rsid w:val="00E87B23"/>
    <w:rsid w:val="00E9198C"/>
    <w:rsid w:val="00E92160"/>
    <w:rsid w:val="00E9767C"/>
    <w:rsid w:val="00E97977"/>
    <w:rsid w:val="00EA02D4"/>
    <w:rsid w:val="00EA08A9"/>
    <w:rsid w:val="00EA143E"/>
    <w:rsid w:val="00EA14B2"/>
    <w:rsid w:val="00EA1ACD"/>
    <w:rsid w:val="00EA1B05"/>
    <w:rsid w:val="00EA3482"/>
    <w:rsid w:val="00EA4A67"/>
    <w:rsid w:val="00EA723C"/>
    <w:rsid w:val="00EA7AD1"/>
    <w:rsid w:val="00EB062E"/>
    <w:rsid w:val="00EB3028"/>
    <w:rsid w:val="00EB392C"/>
    <w:rsid w:val="00EB4281"/>
    <w:rsid w:val="00EB5860"/>
    <w:rsid w:val="00EC2DE2"/>
    <w:rsid w:val="00EC4451"/>
    <w:rsid w:val="00EC4BCD"/>
    <w:rsid w:val="00EC57D6"/>
    <w:rsid w:val="00EC6ACA"/>
    <w:rsid w:val="00EC73D7"/>
    <w:rsid w:val="00ED2297"/>
    <w:rsid w:val="00ED3C43"/>
    <w:rsid w:val="00ED547A"/>
    <w:rsid w:val="00ED5D82"/>
    <w:rsid w:val="00EE096C"/>
    <w:rsid w:val="00EE19B8"/>
    <w:rsid w:val="00EE19D6"/>
    <w:rsid w:val="00EE322A"/>
    <w:rsid w:val="00EE3DF7"/>
    <w:rsid w:val="00EE4313"/>
    <w:rsid w:val="00EE5057"/>
    <w:rsid w:val="00EF309A"/>
    <w:rsid w:val="00EF4257"/>
    <w:rsid w:val="00EF46DC"/>
    <w:rsid w:val="00EF5B62"/>
    <w:rsid w:val="00EF66A3"/>
    <w:rsid w:val="00EF700A"/>
    <w:rsid w:val="00F007E5"/>
    <w:rsid w:val="00F00D17"/>
    <w:rsid w:val="00F02CCF"/>
    <w:rsid w:val="00F032F2"/>
    <w:rsid w:val="00F03319"/>
    <w:rsid w:val="00F03646"/>
    <w:rsid w:val="00F06E2B"/>
    <w:rsid w:val="00F07F52"/>
    <w:rsid w:val="00F10954"/>
    <w:rsid w:val="00F12102"/>
    <w:rsid w:val="00F13851"/>
    <w:rsid w:val="00F13B87"/>
    <w:rsid w:val="00F14A91"/>
    <w:rsid w:val="00F15651"/>
    <w:rsid w:val="00F16C3B"/>
    <w:rsid w:val="00F1729D"/>
    <w:rsid w:val="00F20354"/>
    <w:rsid w:val="00F20591"/>
    <w:rsid w:val="00F231DF"/>
    <w:rsid w:val="00F23DAB"/>
    <w:rsid w:val="00F243A1"/>
    <w:rsid w:val="00F24471"/>
    <w:rsid w:val="00F24BC6"/>
    <w:rsid w:val="00F25CD6"/>
    <w:rsid w:val="00F26598"/>
    <w:rsid w:val="00F268ED"/>
    <w:rsid w:val="00F26E8F"/>
    <w:rsid w:val="00F32C72"/>
    <w:rsid w:val="00F36896"/>
    <w:rsid w:val="00F36E54"/>
    <w:rsid w:val="00F36EAE"/>
    <w:rsid w:val="00F37D02"/>
    <w:rsid w:val="00F4122E"/>
    <w:rsid w:val="00F428F9"/>
    <w:rsid w:val="00F4324F"/>
    <w:rsid w:val="00F44F8A"/>
    <w:rsid w:val="00F45210"/>
    <w:rsid w:val="00F51248"/>
    <w:rsid w:val="00F51F1D"/>
    <w:rsid w:val="00F5291C"/>
    <w:rsid w:val="00F52B7F"/>
    <w:rsid w:val="00F5379C"/>
    <w:rsid w:val="00F54074"/>
    <w:rsid w:val="00F54094"/>
    <w:rsid w:val="00F54AB9"/>
    <w:rsid w:val="00F577C0"/>
    <w:rsid w:val="00F6041D"/>
    <w:rsid w:val="00F60C68"/>
    <w:rsid w:val="00F611F8"/>
    <w:rsid w:val="00F61284"/>
    <w:rsid w:val="00F64B5F"/>
    <w:rsid w:val="00F65112"/>
    <w:rsid w:val="00F653B7"/>
    <w:rsid w:val="00F667AA"/>
    <w:rsid w:val="00F7275E"/>
    <w:rsid w:val="00F72D22"/>
    <w:rsid w:val="00F73B80"/>
    <w:rsid w:val="00F74A0E"/>
    <w:rsid w:val="00F811FC"/>
    <w:rsid w:val="00F83097"/>
    <w:rsid w:val="00F868A4"/>
    <w:rsid w:val="00F870B5"/>
    <w:rsid w:val="00F933AD"/>
    <w:rsid w:val="00F949A6"/>
    <w:rsid w:val="00F957D9"/>
    <w:rsid w:val="00F972A2"/>
    <w:rsid w:val="00FA0593"/>
    <w:rsid w:val="00FA131F"/>
    <w:rsid w:val="00FA1A73"/>
    <w:rsid w:val="00FA6E3D"/>
    <w:rsid w:val="00FB12E0"/>
    <w:rsid w:val="00FB25AF"/>
    <w:rsid w:val="00FB2B1D"/>
    <w:rsid w:val="00FB55A5"/>
    <w:rsid w:val="00FB56DE"/>
    <w:rsid w:val="00FB60B6"/>
    <w:rsid w:val="00FC00FE"/>
    <w:rsid w:val="00FC0C60"/>
    <w:rsid w:val="00FC26C9"/>
    <w:rsid w:val="00FC38FB"/>
    <w:rsid w:val="00FD0151"/>
    <w:rsid w:val="00FD0A89"/>
    <w:rsid w:val="00FD1177"/>
    <w:rsid w:val="00FD30A5"/>
    <w:rsid w:val="00FD4085"/>
    <w:rsid w:val="00FE2D53"/>
    <w:rsid w:val="00FE3009"/>
    <w:rsid w:val="00FE483C"/>
    <w:rsid w:val="00FE53B4"/>
    <w:rsid w:val="00FE6643"/>
    <w:rsid w:val="00FE6ABC"/>
    <w:rsid w:val="00FE74BF"/>
    <w:rsid w:val="00FE7F08"/>
    <w:rsid w:val="00FF0005"/>
    <w:rsid w:val="00FF3086"/>
    <w:rsid w:val="00FF3F2F"/>
    <w:rsid w:val="00FF449B"/>
    <w:rsid w:val="00FF5477"/>
    <w:rsid w:val="00FF63F8"/>
    <w:rsid w:val="00FF679E"/>
    <w:rsid w:val="00FF7632"/>
    <w:rsid w:val="00FF7CCB"/>
    <w:rsid w:val="0144767F"/>
    <w:rsid w:val="028A0A4B"/>
    <w:rsid w:val="02B71414"/>
    <w:rsid w:val="03235B93"/>
    <w:rsid w:val="04100A04"/>
    <w:rsid w:val="09714726"/>
    <w:rsid w:val="09C25223"/>
    <w:rsid w:val="0A7030A8"/>
    <w:rsid w:val="0BB41ADC"/>
    <w:rsid w:val="0F1611DD"/>
    <w:rsid w:val="142353E5"/>
    <w:rsid w:val="172A5D1E"/>
    <w:rsid w:val="19511663"/>
    <w:rsid w:val="197664DC"/>
    <w:rsid w:val="1A4D486F"/>
    <w:rsid w:val="1E730067"/>
    <w:rsid w:val="2864640C"/>
    <w:rsid w:val="2D3729E1"/>
    <w:rsid w:val="2F8505EC"/>
    <w:rsid w:val="31231D11"/>
    <w:rsid w:val="31630166"/>
    <w:rsid w:val="37296E9D"/>
    <w:rsid w:val="3AF43728"/>
    <w:rsid w:val="3B840F8F"/>
    <w:rsid w:val="3EBFD6DB"/>
    <w:rsid w:val="3ED20A68"/>
    <w:rsid w:val="3F1C7C8F"/>
    <w:rsid w:val="408F49C2"/>
    <w:rsid w:val="451E40B8"/>
    <w:rsid w:val="541C1CED"/>
    <w:rsid w:val="5CDF0ACB"/>
    <w:rsid w:val="5FD56CA3"/>
    <w:rsid w:val="62952EF8"/>
    <w:rsid w:val="62EF482A"/>
    <w:rsid w:val="63D6BC7D"/>
    <w:rsid w:val="63E459BE"/>
    <w:rsid w:val="69FFC543"/>
    <w:rsid w:val="6A770A83"/>
    <w:rsid w:val="6BB14542"/>
    <w:rsid w:val="6D663EDD"/>
    <w:rsid w:val="7312572E"/>
    <w:rsid w:val="7AA26A76"/>
    <w:rsid w:val="7C5D85E9"/>
    <w:rsid w:val="DDB9B886"/>
    <w:rsid w:val="EFFF8890"/>
    <w:rsid w:val="FEAA69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numPr>
        <w:ilvl w:val="0"/>
        <w:numId w:val="1"/>
      </w:numPr>
      <w:adjustRightInd w:val="0"/>
      <w:spacing w:line="560" w:lineRule="exact"/>
      <w:ind w:left="0" w:firstLine="643" w:firstLineChars="200"/>
      <w:jc w:val="center"/>
      <w:textAlignment w:val="baseline"/>
      <w:outlineLvl w:val="0"/>
    </w:pPr>
    <w:rPr>
      <w:rFonts w:ascii="黑体" w:hAnsi="Arial Unicode MS" w:eastAsia="黑体"/>
      <w:b/>
      <w:bCs/>
      <w:kern w:val="44"/>
      <w:sz w:val="32"/>
      <w:szCs w:val="32"/>
    </w:rPr>
  </w:style>
  <w:style w:type="paragraph" w:styleId="4">
    <w:name w:val="heading 2"/>
    <w:basedOn w:val="1"/>
    <w:next w:val="1"/>
    <w:link w:val="33"/>
    <w:qFormat/>
    <w:uiPriority w:val="0"/>
    <w:pPr>
      <w:keepNext/>
      <w:keepLines/>
      <w:numPr>
        <w:ilvl w:val="1"/>
        <w:numId w:val="1"/>
      </w:numPr>
      <w:tabs>
        <w:tab w:val="left" w:pos="0"/>
        <w:tab w:val="left" w:pos="567"/>
        <w:tab w:val="left" w:pos="851"/>
        <w:tab w:val="left" w:pos="1843"/>
      </w:tabs>
      <w:adjustRightInd w:val="0"/>
      <w:spacing w:line="560" w:lineRule="exact"/>
      <w:ind w:left="0" w:firstLine="643" w:firstLineChars="200"/>
      <w:jc w:val="center"/>
      <w:textAlignment w:val="baseline"/>
      <w:outlineLvl w:val="1"/>
    </w:pPr>
    <w:rPr>
      <w:rFonts w:ascii="仿宋_GB2312" w:hAnsi="Arial Unicode MS" w:eastAsia="仿宋_GB2312"/>
      <w:b/>
      <w:kern w:val="0"/>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7"/>
    <w:qFormat/>
    <w:uiPriority w:val="0"/>
    <w:pPr>
      <w:spacing w:after="120"/>
    </w:pPr>
    <w:rPr>
      <w:kern w:val="0"/>
      <w:sz w:val="20"/>
    </w:rPr>
  </w:style>
  <w:style w:type="paragraph" w:styleId="5">
    <w:name w:val="Normal Indent"/>
    <w:basedOn w:val="1"/>
    <w:qFormat/>
    <w:uiPriority w:val="0"/>
    <w:pPr>
      <w:ind w:firstLine="420" w:firstLineChars="200"/>
    </w:pPr>
  </w:style>
  <w:style w:type="paragraph" w:styleId="6">
    <w:name w:val="Document Map"/>
    <w:basedOn w:val="1"/>
    <w:link w:val="72"/>
    <w:semiHidden/>
    <w:unhideWhenUsed/>
    <w:qFormat/>
    <w:uiPriority w:val="99"/>
    <w:rPr>
      <w:rFonts w:ascii="宋体"/>
      <w:kern w:val="0"/>
      <w:sz w:val="18"/>
      <w:szCs w:val="18"/>
    </w:rPr>
  </w:style>
  <w:style w:type="paragraph" w:styleId="7">
    <w:name w:val="annotation text"/>
    <w:basedOn w:val="1"/>
    <w:link w:val="40"/>
    <w:unhideWhenUsed/>
    <w:qFormat/>
    <w:uiPriority w:val="99"/>
    <w:pPr>
      <w:jc w:val="left"/>
    </w:pPr>
    <w:rPr>
      <w:kern w:val="0"/>
      <w:sz w:val="20"/>
    </w:rPr>
  </w:style>
  <w:style w:type="paragraph" w:styleId="8">
    <w:name w:val="Body Text Indent"/>
    <w:basedOn w:val="1"/>
    <w:link w:val="55"/>
    <w:qFormat/>
    <w:uiPriority w:val="0"/>
    <w:pPr>
      <w:spacing w:line="600" w:lineRule="atLeast"/>
      <w:ind w:firstLine="646"/>
    </w:pPr>
    <w:rPr>
      <w:rFonts w:ascii="仿宋_GB2312" w:eastAsia="仿宋_GB2312"/>
      <w:kern w:val="0"/>
      <w:sz w:val="32"/>
      <w:szCs w:val="20"/>
    </w:rPr>
  </w:style>
  <w:style w:type="paragraph" w:styleId="9">
    <w:name w:val="Plain Text"/>
    <w:basedOn w:val="1"/>
    <w:link w:val="61"/>
    <w:qFormat/>
    <w:uiPriority w:val="0"/>
    <w:rPr>
      <w:rFonts w:ascii="宋体" w:hAnsi="Courier New"/>
      <w:kern w:val="0"/>
      <w:sz w:val="20"/>
      <w:szCs w:val="20"/>
    </w:rPr>
  </w:style>
  <w:style w:type="paragraph" w:styleId="10">
    <w:name w:val="Date"/>
    <w:basedOn w:val="1"/>
    <w:next w:val="1"/>
    <w:link w:val="50"/>
    <w:qFormat/>
    <w:uiPriority w:val="0"/>
    <w:rPr>
      <w:rFonts w:ascii="楷体_GB2312" w:eastAsia="楷体_GB2312"/>
      <w:kern w:val="0"/>
      <w:sz w:val="32"/>
      <w:szCs w:val="20"/>
    </w:rPr>
  </w:style>
  <w:style w:type="paragraph" w:styleId="11">
    <w:name w:val="Body Text Indent 2"/>
    <w:basedOn w:val="1"/>
    <w:link w:val="65"/>
    <w:qFormat/>
    <w:uiPriority w:val="0"/>
    <w:pPr>
      <w:spacing w:line="500" w:lineRule="exact"/>
      <w:ind w:firstLine="540" w:firstLineChars="225"/>
    </w:pPr>
    <w:rPr>
      <w:rFonts w:ascii="仿宋_GB2312" w:hAnsi="宋体" w:eastAsia="仿宋_GB2312"/>
      <w:kern w:val="0"/>
      <w:sz w:val="24"/>
    </w:rPr>
  </w:style>
  <w:style w:type="paragraph" w:styleId="12">
    <w:name w:val="Balloon Text"/>
    <w:basedOn w:val="1"/>
    <w:link w:val="42"/>
    <w:semiHidden/>
    <w:unhideWhenUsed/>
    <w:qFormat/>
    <w:uiPriority w:val="99"/>
    <w:rPr>
      <w:kern w:val="0"/>
      <w:sz w:val="18"/>
      <w:szCs w:val="18"/>
    </w:rPr>
  </w:style>
  <w:style w:type="paragraph" w:styleId="13">
    <w:name w:val="footer"/>
    <w:basedOn w:val="1"/>
    <w:link w:val="31"/>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rFonts w:ascii="等线" w:hAnsi="等线" w:eastAsia="等线"/>
      <w:kern w:val="0"/>
      <w:sz w:val="18"/>
      <w:szCs w:val="18"/>
    </w:rPr>
  </w:style>
  <w:style w:type="paragraph" w:styleId="15">
    <w:name w:val="toc 1"/>
    <w:basedOn w:val="1"/>
    <w:next w:val="1"/>
    <w:qFormat/>
    <w:uiPriority w:val="39"/>
    <w:pPr>
      <w:tabs>
        <w:tab w:val="left" w:pos="420"/>
        <w:tab w:val="left" w:pos="1134"/>
        <w:tab w:val="right" w:leader="dot" w:pos="8380"/>
      </w:tabs>
      <w:spacing w:line="560" w:lineRule="exact"/>
      <w:jc w:val="left"/>
    </w:pPr>
    <w:rPr>
      <w:rFonts w:eastAsia="黑体"/>
      <w:b/>
      <w:snapToGrid w:val="0"/>
      <w:w w:val="0"/>
      <w:kern w:val="0"/>
      <w:sz w:val="32"/>
    </w:rPr>
  </w:style>
  <w:style w:type="paragraph" w:styleId="16">
    <w:name w:val="footnote text"/>
    <w:basedOn w:val="1"/>
    <w:unhideWhenUsed/>
    <w:qFormat/>
    <w:uiPriority w:val="99"/>
    <w:pPr>
      <w:snapToGrid w:val="0"/>
      <w:jc w:val="left"/>
    </w:pPr>
    <w:rPr>
      <w:sz w:val="18"/>
      <w:szCs w:val="18"/>
    </w:rPr>
  </w:style>
  <w:style w:type="paragraph" w:styleId="17">
    <w:name w:val="Body Text Indent 3"/>
    <w:basedOn w:val="1"/>
    <w:link w:val="63"/>
    <w:qFormat/>
    <w:uiPriority w:val="0"/>
    <w:pPr>
      <w:autoSpaceDE w:val="0"/>
      <w:autoSpaceDN w:val="0"/>
      <w:adjustRightInd w:val="0"/>
      <w:spacing w:line="500" w:lineRule="exact"/>
      <w:ind w:firstLine="360" w:firstLineChars="150"/>
    </w:pPr>
    <w:rPr>
      <w:rFonts w:ascii="仿宋_GB2312" w:hAnsi="宋体" w:eastAsia="仿宋_GB2312"/>
      <w:kern w:val="28"/>
      <w:sz w:val="24"/>
    </w:rPr>
  </w:style>
  <w:style w:type="paragraph" w:styleId="18">
    <w:name w:val="toc 2"/>
    <w:basedOn w:val="1"/>
    <w:next w:val="1"/>
    <w:qFormat/>
    <w:uiPriority w:val="39"/>
    <w:pPr>
      <w:tabs>
        <w:tab w:val="left" w:pos="1276"/>
        <w:tab w:val="right" w:leader="dot" w:pos="8380"/>
      </w:tabs>
      <w:spacing w:line="560" w:lineRule="exact"/>
    </w:pPr>
    <w:rPr>
      <w:rFonts w:eastAsia="楷体_GB2312"/>
      <w:b/>
      <w:sz w:val="32"/>
    </w:rPr>
  </w:style>
  <w:style w:type="paragraph" w:styleId="19">
    <w:name w:val="Body Text 2"/>
    <w:basedOn w:val="1"/>
    <w:link w:val="59"/>
    <w:qFormat/>
    <w:uiPriority w:val="0"/>
    <w:pPr>
      <w:spacing w:after="120" w:line="480" w:lineRule="auto"/>
    </w:pPr>
    <w:rPr>
      <w:kern w:val="0"/>
      <w:sz w:val="20"/>
    </w:rPr>
  </w:style>
  <w:style w:type="paragraph" w:styleId="20">
    <w:name w:val="Normal (Web)"/>
    <w:basedOn w:val="1"/>
    <w:unhideWhenUsed/>
    <w:qFormat/>
    <w:uiPriority w:val="99"/>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styleId="21">
    <w:name w:val="annotation subject"/>
    <w:basedOn w:val="7"/>
    <w:next w:val="7"/>
    <w:link w:val="41"/>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HTML Typewriter"/>
    <w:qFormat/>
    <w:uiPriority w:val="0"/>
    <w:rPr>
      <w:rFonts w:ascii="宋体" w:hAnsi="宋体" w:eastAsia="宋体" w:cs="宋体"/>
      <w:sz w:val="24"/>
      <w:szCs w:val="24"/>
    </w:rPr>
  </w:style>
  <w:style w:type="character" w:styleId="28">
    <w:name w:val="Hyperlink"/>
    <w:qFormat/>
    <w:uiPriority w:val="99"/>
    <w:rPr>
      <w:color w:val="0000FF"/>
      <w:u w:val="single"/>
    </w:rPr>
  </w:style>
  <w:style w:type="character" w:styleId="29">
    <w:name w:val="annotation reference"/>
    <w:unhideWhenUsed/>
    <w:qFormat/>
    <w:uiPriority w:val="99"/>
    <w:rPr>
      <w:sz w:val="21"/>
      <w:szCs w:val="21"/>
    </w:rPr>
  </w:style>
  <w:style w:type="character" w:customStyle="1" w:styleId="30">
    <w:name w:val="页眉 Char1"/>
    <w:link w:val="14"/>
    <w:qFormat/>
    <w:uiPriority w:val="99"/>
    <w:rPr>
      <w:sz w:val="18"/>
      <w:szCs w:val="18"/>
    </w:rPr>
  </w:style>
  <w:style w:type="character" w:customStyle="1" w:styleId="31">
    <w:name w:val="页脚 Char1"/>
    <w:link w:val="13"/>
    <w:qFormat/>
    <w:uiPriority w:val="99"/>
    <w:rPr>
      <w:sz w:val="18"/>
      <w:szCs w:val="18"/>
    </w:rPr>
  </w:style>
  <w:style w:type="character" w:customStyle="1" w:styleId="32">
    <w:name w:val="标题 1 Char1"/>
    <w:link w:val="3"/>
    <w:qFormat/>
    <w:uiPriority w:val="0"/>
    <w:rPr>
      <w:rFonts w:ascii="黑体" w:hAnsi="Arial Unicode MS" w:eastAsia="黑体" w:cs="Arial Unicode MS"/>
      <w:b/>
      <w:bCs/>
      <w:kern w:val="44"/>
      <w:sz w:val="32"/>
      <w:szCs w:val="32"/>
    </w:rPr>
  </w:style>
  <w:style w:type="character" w:customStyle="1" w:styleId="33">
    <w:name w:val="标题 2 Char1"/>
    <w:link w:val="4"/>
    <w:qFormat/>
    <w:uiPriority w:val="0"/>
    <w:rPr>
      <w:rFonts w:ascii="仿宋_GB2312" w:hAnsi="Arial Unicode MS" w:eastAsia="仿宋_GB2312" w:cs="Arial Unicode MS"/>
      <w:b/>
      <w:sz w:val="32"/>
      <w:szCs w:val="32"/>
    </w:rPr>
  </w:style>
  <w:style w:type="paragraph" w:styleId="34">
    <w:name w:val="List Paragraph"/>
    <w:basedOn w:val="1"/>
    <w:link w:val="35"/>
    <w:qFormat/>
    <w:uiPriority w:val="0"/>
    <w:pPr>
      <w:ind w:firstLine="420" w:firstLineChars="200"/>
    </w:pPr>
    <w:rPr>
      <w:rFonts w:ascii="Calibri" w:hAnsi="Calibri" w:eastAsia="仿宋_GB2312"/>
      <w:kern w:val="0"/>
      <w:sz w:val="20"/>
      <w:szCs w:val="20"/>
    </w:rPr>
  </w:style>
  <w:style w:type="character" w:customStyle="1" w:styleId="35">
    <w:name w:val="列出段落 Char1"/>
    <w:link w:val="34"/>
    <w:qFormat/>
    <w:uiPriority w:val="0"/>
    <w:rPr>
      <w:rFonts w:ascii="Calibri" w:hAnsi="Calibri" w:eastAsia="仿宋_GB2312"/>
    </w:rPr>
  </w:style>
  <w:style w:type="paragraph" w:customStyle="1" w:styleId="36">
    <w:name w:val="样式2"/>
    <w:basedOn w:val="1"/>
    <w:link w:val="37"/>
    <w:qFormat/>
    <w:uiPriority w:val="0"/>
    <w:pPr>
      <w:keepNext/>
      <w:keepLines/>
      <w:tabs>
        <w:tab w:val="left" w:pos="0"/>
        <w:tab w:val="left" w:pos="567"/>
        <w:tab w:val="left" w:pos="851"/>
        <w:tab w:val="left" w:pos="993"/>
        <w:tab w:val="left" w:pos="1276"/>
        <w:tab w:val="left" w:pos="1843"/>
        <w:tab w:val="left" w:pos="2127"/>
        <w:tab w:val="left" w:pos="2410"/>
        <w:tab w:val="left" w:pos="2552"/>
        <w:tab w:val="left" w:pos="2694"/>
        <w:tab w:val="left" w:pos="2977"/>
        <w:tab w:val="left" w:pos="3119"/>
      </w:tabs>
      <w:adjustRightInd w:val="0"/>
      <w:spacing w:line="560" w:lineRule="exact"/>
      <w:ind w:firstLine="643" w:firstLineChars="200"/>
      <w:jc w:val="center"/>
      <w:textAlignment w:val="baseline"/>
      <w:outlineLvl w:val="1"/>
    </w:pPr>
    <w:rPr>
      <w:rFonts w:ascii="楷体_GB2312" w:hAnsi="Arial Unicode MS" w:eastAsia="楷体_GB2312"/>
      <w:b/>
      <w:kern w:val="0"/>
      <w:sz w:val="32"/>
      <w:szCs w:val="32"/>
    </w:rPr>
  </w:style>
  <w:style w:type="character" w:customStyle="1" w:styleId="37">
    <w:name w:val="样式2 Char"/>
    <w:link w:val="36"/>
    <w:qFormat/>
    <w:uiPriority w:val="0"/>
    <w:rPr>
      <w:rFonts w:ascii="楷体_GB2312" w:hAnsi="Arial Unicode MS" w:eastAsia="楷体_GB2312" w:cs="Arial Unicode MS"/>
      <w:b/>
      <w:sz w:val="32"/>
      <w:szCs w:val="32"/>
    </w:rPr>
  </w:style>
  <w:style w:type="paragraph" w:customStyle="1" w:styleId="38">
    <w:name w:val="样式7"/>
    <w:basedOn w:val="1"/>
    <w:link w:val="39"/>
    <w:qFormat/>
    <w:uiPriority w:val="0"/>
    <w:pPr>
      <w:keepNext/>
      <w:keepLines/>
      <w:tabs>
        <w:tab w:val="left" w:pos="142"/>
        <w:tab w:val="left" w:pos="1560"/>
        <w:tab w:val="left" w:pos="1701"/>
      </w:tabs>
      <w:adjustRightInd w:val="0"/>
      <w:spacing w:line="560" w:lineRule="exact"/>
      <w:ind w:firstLine="640" w:firstLineChars="200"/>
      <w:jc w:val="center"/>
      <w:textAlignment w:val="baseline"/>
      <w:outlineLvl w:val="0"/>
    </w:pPr>
    <w:rPr>
      <w:rFonts w:ascii="黑体" w:hAnsi="Arial Unicode MS" w:eastAsia="黑体"/>
      <w:bCs/>
      <w:kern w:val="44"/>
      <w:sz w:val="32"/>
      <w:szCs w:val="32"/>
    </w:rPr>
  </w:style>
  <w:style w:type="character" w:customStyle="1" w:styleId="39">
    <w:name w:val="样式7 Char"/>
    <w:link w:val="38"/>
    <w:qFormat/>
    <w:uiPriority w:val="0"/>
    <w:rPr>
      <w:rFonts w:ascii="黑体" w:hAnsi="Arial Unicode MS" w:eastAsia="黑体" w:cs="Arial Unicode MS"/>
      <w:bCs/>
      <w:kern w:val="44"/>
      <w:sz w:val="32"/>
      <w:szCs w:val="32"/>
    </w:rPr>
  </w:style>
  <w:style w:type="character" w:customStyle="1" w:styleId="40">
    <w:name w:val="批注文字 Char1"/>
    <w:link w:val="7"/>
    <w:semiHidden/>
    <w:qFormat/>
    <w:uiPriority w:val="99"/>
    <w:rPr>
      <w:rFonts w:ascii="Times New Roman" w:hAnsi="Times New Roman" w:eastAsia="宋体" w:cs="Times New Roman"/>
      <w:szCs w:val="24"/>
    </w:rPr>
  </w:style>
  <w:style w:type="character" w:customStyle="1" w:styleId="41">
    <w:name w:val="批注主题 Char1"/>
    <w:link w:val="21"/>
    <w:semiHidden/>
    <w:qFormat/>
    <w:uiPriority w:val="99"/>
    <w:rPr>
      <w:rFonts w:ascii="Times New Roman" w:hAnsi="Times New Roman" w:eastAsia="宋体" w:cs="Times New Roman"/>
      <w:b/>
      <w:bCs/>
      <w:szCs w:val="24"/>
    </w:rPr>
  </w:style>
  <w:style w:type="character" w:customStyle="1" w:styleId="42">
    <w:name w:val="批注框文本 Char1"/>
    <w:link w:val="12"/>
    <w:semiHidden/>
    <w:qFormat/>
    <w:uiPriority w:val="99"/>
    <w:rPr>
      <w:rFonts w:ascii="Times New Roman" w:hAnsi="Times New Roman" w:eastAsia="宋体" w:cs="Times New Roman"/>
      <w:sz w:val="18"/>
      <w:szCs w:val="18"/>
    </w:rPr>
  </w:style>
  <w:style w:type="paragraph" w:customStyle="1" w:styleId="4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4">
    <w:name w:val="fontstyle01"/>
    <w:qFormat/>
    <w:uiPriority w:val="0"/>
    <w:rPr>
      <w:rFonts w:hint="eastAsia" w:ascii="宋体" w:hAnsi="宋体" w:eastAsia="宋体"/>
      <w:color w:val="000000"/>
      <w:sz w:val="24"/>
      <w:szCs w:val="24"/>
    </w:rPr>
  </w:style>
  <w:style w:type="character" w:customStyle="1" w:styleId="45">
    <w:name w:val="标题 1 Char"/>
    <w:qFormat/>
    <w:uiPriority w:val="0"/>
    <w:rPr>
      <w:rFonts w:ascii="黑体" w:hAnsi="Arial Unicode MS" w:eastAsia="黑体" w:cs="Arial Unicode MS"/>
      <w:b/>
      <w:bCs/>
      <w:kern w:val="44"/>
      <w:sz w:val="32"/>
      <w:szCs w:val="32"/>
    </w:rPr>
  </w:style>
  <w:style w:type="character" w:customStyle="1" w:styleId="46">
    <w:name w:val="标题 2 Char"/>
    <w:qFormat/>
    <w:uiPriority w:val="0"/>
    <w:rPr>
      <w:rFonts w:ascii="仿宋_GB2312" w:hAnsi="Arial Unicode MS" w:eastAsia="仿宋_GB2312" w:cs="Arial Unicode MS"/>
      <w:b/>
      <w:sz w:val="32"/>
      <w:szCs w:val="32"/>
    </w:rPr>
  </w:style>
  <w:style w:type="character" w:customStyle="1" w:styleId="47">
    <w:name w:val="页眉 Char"/>
    <w:qFormat/>
    <w:uiPriority w:val="99"/>
    <w:rPr>
      <w:rFonts w:ascii="Times New Roman" w:hAnsi="Times New Roman" w:eastAsia="宋体" w:cs="Times New Roman"/>
      <w:sz w:val="18"/>
      <w:szCs w:val="18"/>
    </w:rPr>
  </w:style>
  <w:style w:type="character" w:customStyle="1" w:styleId="48">
    <w:name w:val="页脚 Char"/>
    <w:qFormat/>
    <w:uiPriority w:val="0"/>
    <w:rPr>
      <w:rFonts w:ascii="Times New Roman" w:hAnsi="Times New Roman" w:eastAsia="宋体" w:cs="Times New Roman"/>
      <w:sz w:val="18"/>
      <w:szCs w:val="18"/>
    </w:rPr>
  </w:style>
  <w:style w:type="character" w:customStyle="1" w:styleId="49">
    <w:name w:val="日期 字符"/>
    <w:semiHidden/>
    <w:qFormat/>
    <w:uiPriority w:val="99"/>
    <w:rPr>
      <w:rFonts w:ascii="Times New Roman" w:hAnsi="Times New Roman" w:eastAsia="宋体" w:cs="Times New Roman"/>
      <w:szCs w:val="24"/>
    </w:rPr>
  </w:style>
  <w:style w:type="character" w:customStyle="1" w:styleId="50">
    <w:name w:val="日期 Char"/>
    <w:link w:val="10"/>
    <w:qFormat/>
    <w:uiPriority w:val="0"/>
    <w:rPr>
      <w:rFonts w:ascii="楷体_GB2312" w:hAnsi="Times New Roman" w:eastAsia="楷体_GB2312" w:cs="Times New Roman"/>
      <w:sz w:val="32"/>
      <w:szCs w:val="20"/>
    </w:rPr>
  </w:style>
  <w:style w:type="character" w:customStyle="1" w:styleId="51">
    <w:name w:val="批注框文本 Char"/>
    <w:semiHidden/>
    <w:qFormat/>
    <w:uiPriority w:val="99"/>
    <w:rPr>
      <w:rFonts w:ascii="Times New Roman" w:hAnsi="Times New Roman" w:eastAsia="宋体" w:cs="Times New Roman"/>
      <w:sz w:val="18"/>
      <w:szCs w:val="18"/>
    </w:rPr>
  </w:style>
  <w:style w:type="character" w:customStyle="1" w:styleId="52">
    <w:name w:val="批注文字 Char"/>
    <w:qFormat/>
    <w:uiPriority w:val="99"/>
    <w:rPr>
      <w:rFonts w:ascii="Times New Roman" w:hAnsi="Times New Roman" w:eastAsia="宋体" w:cs="Times New Roman"/>
      <w:szCs w:val="24"/>
    </w:rPr>
  </w:style>
  <w:style w:type="character" w:customStyle="1" w:styleId="53">
    <w:name w:val="批注主题 Char"/>
    <w:qFormat/>
    <w:uiPriority w:val="0"/>
    <w:rPr>
      <w:rFonts w:ascii="Times New Roman" w:hAnsi="Times New Roman" w:eastAsia="宋体" w:cs="Times New Roman"/>
      <w:b/>
      <w:bCs/>
      <w:szCs w:val="24"/>
    </w:rPr>
  </w:style>
  <w:style w:type="character" w:customStyle="1" w:styleId="54">
    <w:name w:val="正文文本缩进 字符"/>
    <w:semiHidden/>
    <w:qFormat/>
    <w:uiPriority w:val="99"/>
    <w:rPr>
      <w:rFonts w:ascii="Times New Roman" w:hAnsi="Times New Roman" w:eastAsia="宋体" w:cs="Times New Roman"/>
      <w:szCs w:val="24"/>
    </w:rPr>
  </w:style>
  <w:style w:type="character" w:customStyle="1" w:styleId="55">
    <w:name w:val="正文文本缩进 Char"/>
    <w:link w:val="8"/>
    <w:qFormat/>
    <w:uiPriority w:val="0"/>
    <w:rPr>
      <w:rFonts w:ascii="仿宋_GB2312" w:hAnsi="Times New Roman" w:eastAsia="仿宋_GB2312" w:cs="Times New Roman"/>
      <w:sz w:val="32"/>
      <w:szCs w:val="20"/>
    </w:rPr>
  </w:style>
  <w:style w:type="character" w:customStyle="1" w:styleId="56">
    <w:name w:val="正文文本 字符"/>
    <w:semiHidden/>
    <w:qFormat/>
    <w:uiPriority w:val="99"/>
    <w:rPr>
      <w:rFonts w:ascii="Times New Roman" w:hAnsi="Times New Roman" w:eastAsia="宋体" w:cs="Times New Roman"/>
      <w:szCs w:val="24"/>
    </w:rPr>
  </w:style>
  <w:style w:type="character" w:customStyle="1" w:styleId="57">
    <w:name w:val="正文文本 Char"/>
    <w:link w:val="2"/>
    <w:qFormat/>
    <w:uiPriority w:val="0"/>
    <w:rPr>
      <w:rFonts w:ascii="Times New Roman" w:hAnsi="Times New Roman" w:eastAsia="宋体" w:cs="Times New Roman"/>
      <w:szCs w:val="24"/>
    </w:rPr>
  </w:style>
  <w:style w:type="character" w:customStyle="1" w:styleId="58">
    <w:name w:val="正文文本 2 字符"/>
    <w:semiHidden/>
    <w:qFormat/>
    <w:uiPriority w:val="99"/>
    <w:rPr>
      <w:rFonts w:ascii="Times New Roman" w:hAnsi="Times New Roman" w:eastAsia="宋体" w:cs="Times New Roman"/>
      <w:szCs w:val="24"/>
    </w:rPr>
  </w:style>
  <w:style w:type="character" w:customStyle="1" w:styleId="59">
    <w:name w:val="正文文本 2 Char"/>
    <w:link w:val="19"/>
    <w:qFormat/>
    <w:uiPriority w:val="0"/>
    <w:rPr>
      <w:rFonts w:ascii="Times New Roman" w:hAnsi="Times New Roman" w:eastAsia="宋体" w:cs="Times New Roman"/>
      <w:szCs w:val="24"/>
    </w:rPr>
  </w:style>
  <w:style w:type="character" w:customStyle="1" w:styleId="60">
    <w:name w:val="纯文本 字符"/>
    <w:semiHidden/>
    <w:qFormat/>
    <w:uiPriority w:val="99"/>
    <w:rPr>
      <w:rFonts w:ascii="等线" w:hAnsi="Courier New" w:cs="Courier New"/>
      <w:szCs w:val="24"/>
    </w:rPr>
  </w:style>
  <w:style w:type="character" w:customStyle="1" w:styleId="61">
    <w:name w:val="纯文本 Char"/>
    <w:link w:val="9"/>
    <w:qFormat/>
    <w:uiPriority w:val="0"/>
    <w:rPr>
      <w:rFonts w:ascii="宋体" w:hAnsi="Courier New" w:eastAsia="宋体" w:cs="Times New Roman"/>
      <w:szCs w:val="20"/>
    </w:rPr>
  </w:style>
  <w:style w:type="character" w:customStyle="1" w:styleId="62">
    <w:name w:val="正文文本缩进 3 字符"/>
    <w:semiHidden/>
    <w:qFormat/>
    <w:uiPriority w:val="99"/>
    <w:rPr>
      <w:rFonts w:ascii="Times New Roman" w:hAnsi="Times New Roman" w:eastAsia="宋体" w:cs="Times New Roman"/>
      <w:sz w:val="16"/>
      <w:szCs w:val="16"/>
    </w:rPr>
  </w:style>
  <w:style w:type="character" w:customStyle="1" w:styleId="63">
    <w:name w:val="正文文本缩进 3 Char"/>
    <w:link w:val="17"/>
    <w:qFormat/>
    <w:uiPriority w:val="0"/>
    <w:rPr>
      <w:rFonts w:ascii="仿宋_GB2312" w:hAnsi="宋体" w:eastAsia="仿宋_GB2312" w:cs="Times New Roman"/>
      <w:kern w:val="28"/>
      <w:sz w:val="24"/>
      <w:szCs w:val="24"/>
    </w:rPr>
  </w:style>
  <w:style w:type="character" w:customStyle="1" w:styleId="64">
    <w:name w:val="正文文本缩进 2 字符"/>
    <w:semiHidden/>
    <w:qFormat/>
    <w:uiPriority w:val="99"/>
    <w:rPr>
      <w:rFonts w:ascii="Times New Roman" w:hAnsi="Times New Roman" w:eastAsia="宋体" w:cs="Times New Roman"/>
      <w:szCs w:val="24"/>
    </w:rPr>
  </w:style>
  <w:style w:type="character" w:customStyle="1" w:styleId="65">
    <w:name w:val="正文文本缩进 2 Char"/>
    <w:link w:val="11"/>
    <w:qFormat/>
    <w:uiPriority w:val="0"/>
    <w:rPr>
      <w:rFonts w:ascii="仿宋_GB2312" w:hAnsi="宋体" w:eastAsia="仿宋_GB2312" w:cs="Times New Roman"/>
      <w:sz w:val="24"/>
      <w:szCs w:val="24"/>
    </w:rPr>
  </w:style>
  <w:style w:type="character" w:customStyle="1" w:styleId="66">
    <w:name w:val="访问过的超链接1"/>
    <w:qFormat/>
    <w:uiPriority w:val="0"/>
    <w:rPr>
      <w:color w:val="954F72"/>
      <w:u w:val="single"/>
    </w:rPr>
  </w:style>
  <w:style w:type="character" w:customStyle="1" w:styleId="67">
    <w:name w:val="列出段落 Char"/>
    <w:qFormat/>
    <w:uiPriority w:val="0"/>
    <w:rPr>
      <w:rFonts w:ascii="Calibri" w:hAnsi="Calibri" w:eastAsia="宋体" w:cs="Times New Roman"/>
      <w:kern w:val="0"/>
      <w:sz w:val="20"/>
      <w:szCs w:val="20"/>
    </w:rPr>
  </w:style>
  <w:style w:type="character" w:customStyle="1" w:styleId="68">
    <w:name w:val="style_kwd1"/>
    <w:qFormat/>
    <w:uiPriority w:val="0"/>
    <w:rPr>
      <w:shd w:val="clear" w:color="auto" w:fill="FFFFA6"/>
    </w:rPr>
  </w:style>
  <w:style w:type="paragraph" w:customStyle="1" w:styleId="69">
    <w:name w:val="列出段落111"/>
    <w:basedOn w:val="1"/>
    <w:qFormat/>
    <w:uiPriority w:val="99"/>
    <w:pPr>
      <w:ind w:firstLine="420" w:firstLineChars="200"/>
    </w:pPr>
    <w:rPr>
      <w:rFonts w:ascii="Calibri" w:hAnsi="Calibri"/>
      <w:szCs w:val="22"/>
    </w:rPr>
  </w:style>
  <w:style w:type="paragraph" w:customStyle="1" w:styleId="70">
    <w:name w:val="列出段落1"/>
    <w:basedOn w:val="1"/>
    <w:qFormat/>
    <w:uiPriority w:val="0"/>
    <w:pPr>
      <w:ind w:firstLine="420" w:firstLineChars="200"/>
    </w:pPr>
    <w:rPr>
      <w:rFonts w:ascii="Calibri" w:hAnsi="Calibri"/>
      <w:szCs w:val="22"/>
    </w:rPr>
  </w:style>
  <w:style w:type="character" w:customStyle="1" w:styleId="71">
    <w:name w:val="文档结构图 字符"/>
    <w:semiHidden/>
    <w:qFormat/>
    <w:uiPriority w:val="99"/>
    <w:rPr>
      <w:rFonts w:ascii="Microsoft YaHei UI" w:hAnsi="Times New Roman" w:eastAsia="Microsoft YaHei UI" w:cs="Times New Roman"/>
      <w:sz w:val="18"/>
      <w:szCs w:val="18"/>
    </w:rPr>
  </w:style>
  <w:style w:type="character" w:customStyle="1" w:styleId="72">
    <w:name w:val="文档结构图 Char"/>
    <w:link w:val="6"/>
    <w:semiHidden/>
    <w:qFormat/>
    <w:uiPriority w:val="99"/>
    <w:rPr>
      <w:rFonts w:ascii="宋体" w:hAnsi="Times New Roman" w:eastAsia="宋体" w:cs="Times New Roman"/>
      <w:sz w:val="18"/>
      <w:szCs w:val="18"/>
    </w:rPr>
  </w:style>
  <w:style w:type="paragraph" w:customStyle="1" w:styleId="73">
    <w:name w:val="样式1"/>
    <w:basedOn w:val="4"/>
    <w:link w:val="74"/>
    <w:qFormat/>
    <w:uiPriority w:val="0"/>
    <w:pPr>
      <w:tabs>
        <w:tab w:val="left" w:pos="1276"/>
        <w:tab w:val="left" w:pos="2127"/>
        <w:tab w:val="left" w:pos="2410"/>
        <w:tab w:val="left" w:pos="2552"/>
        <w:tab w:val="left" w:pos="2694"/>
        <w:tab w:val="left" w:pos="2977"/>
      </w:tabs>
    </w:pPr>
    <w:rPr>
      <w:rFonts w:ascii="楷体_GB2312" w:eastAsia="楷体_GB2312"/>
      <w:b w:val="0"/>
    </w:rPr>
  </w:style>
  <w:style w:type="character" w:customStyle="1" w:styleId="74">
    <w:name w:val="样式1 Char"/>
    <w:link w:val="73"/>
    <w:qFormat/>
    <w:uiPriority w:val="0"/>
    <w:rPr>
      <w:rFonts w:ascii="楷体_GB2312" w:hAnsi="Arial Unicode MS" w:eastAsia="楷体_GB2312" w:cs="Arial Unicode MS"/>
      <w:sz w:val="32"/>
      <w:szCs w:val="32"/>
    </w:rPr>
  </w:style>
  <w:style w:type="paragraph" w:customStyle="1" w:styleId="75">
    <w:name w:val="样式3"/>
    <w:basedOn w:val="36"/>
    <w:link w:val="76"/>
    <w:qFormat/>
    <w:uiPriority w:val="0"/>
    <w:pPr>
      <w:tabs>
        <w:tab w:val="left" w:pos="4395"/>
        <w:tab w:val="clear" w:pos="0"/>
      </w:tabs>
      <w:ind w:left="4395" w:firstLine="0" w:firstLineChars="0"/>
    </w:pPr>
    <w:rPr>
      <w:b w:val="0"/>
    </w:rPr>
  </w:style>
  <w:style w:type="character" w:customStyle="1" w:styleId="76">
    <w:name w:val="样式3 Char"/>
    <w:link w:val="75"/>
    <w:qFormat/>
    <w:uiPriority w:val="0"/>
    <w:rPr>
      <w:rFonts w:ascii="楷体_GB2312" w:hAnsi="Arial Unicode MS" w:eastAsia="楷体_GB2312" w:cs="Arial Unicode MS"/>
      <w:sz w:val="32"/>
      <w:szCs w:val="32"/>
    </w:rPr>
  </w:style>
  <w:style w:type="paragraph" w:customStyle="1" w:styleId="77">
    <w:name w:val="样式4"/>
    <w:basedOn w:val="3"/>
    <w:link w:val="78"/>
    <w:qFormat/>
    <w:uiPriority w:val="0"/>
    <w:rPr>
      <w:b w:val="0"/>
      <w:bCs w:val="0"/>
    </w:rPr>
  </w:style>
  <w:style w:type="character" w:customStyle="1" w:styleId="78">
    <w:name w:val="样式4 Char"/>
    <w:link w:val="77"/>
    <w:qFormat/>
    <w:uiPriority w:val="0"/>
    <w:rPr>
      <w:rFonts w:ascii="黑体" w:hAnsi="Arial Unicode MS" w:eastAsia="黑体" w:cs="Arial Unicode MS"/>
      <w:kern w:val="44"/>
      <w:sz w:val="32"/>
      <w:szCs w:val="32"/>
    </w:rPr>
  </w:style>
  <w:style w:type="paragraph" w:customStyle="1" w:styleId="79">
    <w:name w:val="样式5"/>
    <w:basedOn w:val="77"/>
    <w:link w:val="80"/>
    <w:qFormat/>
    <w:uiPriority w:val="0"/>
    <w:pPr>
      <w:ind w:firstLine="640"/>
    </w:pPr>
    <w:rPr>
      <w:bCs/>
    </w:rPr>
  </w:style>
  <w:style w:type="character" w:customStyle="1" w:styleId="80">
    <w:name w:val="样式5 Char"/>
    <w:link w:val="79"/>
    <w:qFormat/>
    <w:uiPriority w:val="0"/>
    <w:rPr>
      <w:rFonts w:ascii="黑体" w:hAnsi="Arial Unicode MS" w:eastAsia="黑体" w:cs="Arial Unicode MS"/>
      <w:bCs/>
      <w:kern w:val="44"/>
      <w:sz w:val="32"/>
      <w:szCs w:val="32"/>
    </w:rPr>
  </w:style>
  <w:style w:type="paragraph" w:customStyle="1" w:styleId="81">
    <w:name w:val="样式6"/>
    <w:basedOn w:val="79"/>
    <w:link w:val="82"/>
    <w:qFormat/>
    <w:uiPriority w:val="0"/>
    <w:pPr>
      <w:tabs>
        <w:tab w:val="left" w:pos="1418"/>
      </w:tabs>
    </w:pPr>
    <w:rPr>
      <w:bCs w:val="0"/>
    </w:rPr>
  </w:style>
  <w:style w:type="character" w:customStyle="1" w:styleId="82">
    <w:name w:val="样式6 Char"/>
    <w:link w:val="81"/>
    <w:qFormat/>
    <w:uiPriority w:val="0"/>
    <w:rPr>
      <w:rFonts w:ascii="黑体" w:hAnsi="Arial Unicode MS" w:eastAsia="黑体" w:cs="Arial Unicode MS"/>
      <w:kern w:val="44"/>
      <w:sz w:val="32"/>
      <w:szCs w:val="32"/>
    </w:rPr>
  </w:style>
  <w:style w:type="paragraph" w:customStyle="1" w:styleId="8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84">
    <w:name w:val="fontstyle21"/>
    <w:qFormat/>
    <w:uiPriority w:val="0"/>
    <w:rPr>
      <w:rFonts w:hint="default" w:ascii="Times" w:hAnsi="Times"/>
      <w:color w:val="000000"/>
      <w:sz w:val="24"/>
      <w:szCs w:val="24"/>
    </w:rPr>
  </w:style>
  <w:style w:type="character" w:customStyle="1" w:styleId="85">
    <w:name w:val="threshold3"/>
    <w:qFormat/>
    <w:uiPriority w:val="0"/>
    <w:rPr>
      <w:vanish/>
      <w:color w:val="FFFFFF"/>
      <w:sz w:val="2"/>
      <w:szCs w:val="2"/>
    </w:rPr>
  </w:style>
  <w:style w:type="paragraph" w:customStyle="1" w:styleId="8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87">
    <w:name w:val="_Style 3"/>
    <w:basedOn w:val="1"/>
    <w:qFormat/>
    <w:uiPriority w:val="0"/>
    <w:pPr>
      <w:ind w:firstLine="420" w:firstLineChars="200"/>
    </w:pPr>
    <w:rPr>
      <w:szCs w:val="22"/>
    </w:rPr>
  </w:style>
  <w:style w:type="paragraph" w:customStyle="1" w:styleId="88">
    <w:name w:val="TOC 标题1"/>
    <w:basedOn w:val="3"/>
    <w:next w:val="1"/>
    <w:unhideWhenUsed/>
    <w:qFormat/>
    <w:uiPriority w:val="39"/>
    <w:pPr>
      <w:widowControl/>
      <w:numPr>
        <w:numId w:val="0"/>
      </w:numPr>
      <w:tabs>
        <w:tab w:val="clear" w:pos="142"/>
      </w:tabs>
      <w:adjustRightInd/>
      <w:spacing w:before="240" w:line="259" w:lineRule="auto"/>
      <w:jc w:val="left"/>
      <w:textAlignment w:val="auto"/>
      <w:outlineLvl w:val="9"/>
    </w:pPr>
    <w:rPr>
      <w:rFonts w:asciiTheme="majorHAnsi" w:hAnsiTheme="majorHAnsi" w:eastAsiaTheme="majorEastAsia" w:cstheme="majorBidi"/>
      <w:b w:val="0"/>
      <w:bCs w:val="0"/>
      <w:color w:val="366091" w:themeColor="accent1" w:themeShade="BF"/>
      <w:kern w:val="0"/>
    </w:rPr>
  </w:style>
  <w:style w:type="paragraph" w:customStyle="1" w:styleId="89">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9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2">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142</Pages>
  <Words>10909</Words>
  <Characters>62186</Characters>
  <Lines>518</Lines>
  <Paragraphs>145</Paragraphs>
  <TotalTime>19</TotalTime>
  <ScaleCrop>false</ScaleCrop>
  <LinksUpToDate>false</LinksUpToDate>
  <CharactersWithSpaces>72950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2024-04-28T22:38:00Z</dcterms:created>
  <dc:creator>hebowen</dc:creator>
  <cp:lastModifiedBy>hebowen</cp:lastModifiedBy>
  <cp:lastPrinted>2021-01-02T09:59:00Z</cp:lastPrinted>
  <dcterms:modified xsi:type="dcterms:W3CDTF">2024-09-05T07:59:31Z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FDD4655C877F4B42ACC2AD20FC8540E4</vt:lpwstr>
  </property>
</Properties>
</file>