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cs="宋体"/>
          <w:b/>
          <w:spacing w:val="-20"/>
          <w:kern w:val="0"/>
          <w:sz w:val="36"/>
          <w:szCs w:val="36"/>
        </w:rPr>
      </w:pPr>
      <w:r>
        <w:rPr>
          <w:rFonts w:hint="eastAsia" w:ascii="宋体" w:cs="宋体"/>
          <w:b/>
          <w:spacing w:val="-20"/>
          <w:kern w:val="0"/>
          <w:sz w:val="36"/>
          <w:szCs w:val="36"/>
        </w:rPr>
        <w:t>中银国际证券股份有限公司</w:t>
      </w:r>
    </w:p>
    <w:p>
      <w:pPr>
        <w:autoSpaceDE w:val="0"/>
        <w:autoSpaceDN w:val="0"/>
        <w:adjustRightInd w:val="0"/>
        <w:snapToGrid w:val="0"/>
        <w:spacing w:line="360" w:lineRule="auto"/>
        <w:jc w:val="center"/>
        <w:rPr>
          <w:rFonts w:hint="eastAsia" w:ascii="宋体" w:eastAsia="宋体" w:cs="宋体"/>
          <w:kern w:val="0"/>
          <w:sz w:val="36"/>
          <w:szCs w:val="36"/>
          <w:lang w:val="en-US" w:eastAsia="zh-CN"/>
        </w:rPr>
      </w:pPr>
      <w:r>
        <w:rPr>
          <w:rFonts w:hint="eastAsia" w:ascii="宋体" w:cs="宋体"/>
          <w:b/>
          <w:spacing w:val="-20"/>
          <w:kern w:val="0"/>
          <w:sz w:val="36"/>
          <w:szCs w:val="36"/>
        </w:rPr>
        <w:t>零售经纪业务金融服务风险评级细则</w:t>
      </w:r>
      <w:r>
        <w:rPr>
          <w:rFonts w:hint="eastAsia" w:ascii="宋体" w:cs="宋体"/>
          <w:b/>
          <w:spacing w:val="-20"/>
          <w:kern w:val="0"/>
          <w:sz w:val="36"/>
          <w:szCs w:val="36"/>
          <w:lang w:val="en-US" w:eastAsia="zh-CN"/>
        </w:rPr>
        <w:t>公示</w:t>
      </w:r>
    </w:p>
    <w:p>
      <w:pPr>
        <w:numPr>
          <w:ilvl w:val="0"/>
          <w:numId w:val="0"/>
        </w:numPr>
        <w:autoSpaceDE w:val="0"/>
        <w:autoSpaceDN w:val="0"/>
        <w:adjustRightInd w:val="0"/>
        <w:snapToGrid w:val="0"/>
        <w:spacing w:line="360" w:lineRule="auto"/>
        <w:ind w:firstLine="480" w:firstLineChars="200"/>
        <w:jc w:val="left"/>
        <w:rPr>
          <w:rFonts w:ascii="仿宋" w:hAnsi="仿宋" w:eastAsia="仿宋" w:cs="宋体"/>
          <w:spacing w:val="-20"/>
          <w:kern w:val="0"/>
          <w:sz w:val="28"/>
          <w:szCs w:val="28"/>
        </w:rPr>
      </w:pPr>
      <w:r>
        <w:rPr>
          <w:rFonts w:hint="eastAsia" w:ascii="仿宋" w:hAnsi="仿宋" w:eastAsia="仿宋" w:cs="宋体"/>
          <w:spacing w:val="-20"/>
          <w:kern w:val="0"/>
          <w:sz w:val="28"/>
          <w:szCs w:val="28"/>
        </w:rPr>
        <w:t>为落实监管部门</w:t>
      </w:r>
      <w:r>
        <w:rPr>
          <w:rFonts w:hint="eastAsia" w:ascii="仿宋" w:hAnsi="仿宋" w:eastAsia="仿宋" w:cs="宋体"/>
          <w:spacing w:val="-20"/>
          <w:kern w:val="0"/>
          <w:sz w:val="28"/>
          <w:szCs w:val="28"/>
          <w:lang w:val="en-US" w:eastAsia="zh-CN"/>
        </w:rPr>
        <w:t>关于</w:t>
      </w:r>
      <w:r>
        <w:rPr>
          <w:rFonts w:hint="eastAsia" w:ascii="仿宋" w:hAnsi="仿宋" w:eastAsia="仿宋" w:cs="宋体"/>
          <w:spacing w:val="-20"/>
          <w:kern w:val="0"/>
          <w:sz w:val="28"/>
          <w:szCs w:val="28"/>
        </w:rPr>
        <w:t>对金融服务进行综合评估</w:t>
      </w:r>
      <w:r>
        <w:rPr>
          <w:rFonts w:hint="eastAsia" w:ascii="仿宋" w:hAnsi="仿宋" w:eastAsia="仿宋" w:cs="宋体"/>
          <w:spacing w:val="-20"/>
          <w:kern w:val="0"/>
          <w:sz w:val="28"/>
          <w:szCs w:val="28"/>
          <w:lang w:val="en-US" w:eastAsia="zh-CN"/>
        </w:rPr>
        <w:t>并</w:t>
      </w:r>
      <w:r>
        <w:rPr>
          <w:rFonts w:hint="eastAsia" w:ascii="仿宋" w:hAnsi="仿宋" w:eastAsia="仿宋" w:cs="宋体"/>
          <w:spacing w:val="-20"/>
          <w:kern w:val="0"/>
          <w:sz w:val="28"/>
          <w:szCs w:val="28"/>
        </w:rPr>
        <w:t>确定其风险等级的要求，公司</w:t>
      </w:r>
      <w:r>
        <w:rPr>
          <w:rFonts w:hint="eastAsia" w:ascii="仿宋" w:hAnsi="仿宋" w:eastAsia="仿宋" w:cs="宋体"/>
          <w:spacing w:val="-20"/>
          <w:kern w:val="0"/>
          <w:sz w:val="28"/>
          <w:szCs w:val="28"/>
          <w:lang w:val="en-US" w:eastAsia="zh-CN"/>
        </w:rPr>
        <w:t>在</w:t>
      </w:r>
      <w:r>
        <w:rPr>
          <w:rFonts w:hint="eastAsia" w:ascii="仿宋" w:hAnsi="仿宋" w:eastAsia="仿宋" w:cs="宋体"/>
          <w:spacing w:val="-20"/>
          <w:kern w:val="0"/>
          <w:sz w:val="28"/>
          <w:szCs w:val="28"/>
        </w:rPr>
        <w:t>《投资者适当性工作管理办法》基础上，制定《中银国际证券股份有限公司零售经纪业务金融服务风险评级细则》，进一步细化了金融服务风险等级评价标准，建立金融服务等级清单，并明确金融服务等级清单定期更新要求</w:t>
      </w:r>
      <w:r>
        <w:rPr>
          <w:rFonts w:hint="eastAsia" w:ascii="仿宋" w:hAnsi="仿宋" w:eastAsia="仿宋" w:cs="宋体"/>
          <w:spacing w:val="-20"/>
          <w:kern w:val="0"/>
          <w:sz w:val="28"/>
          <w:szCs w:val="28"/>
          <w:lang w:eastAsia="zh-CN"/>
        </w:rPr>
        <w:t>。</w:t>
      </w:r>
      <w:r>
        <w:rPr>
          <w:rFonts w:hint="eastAsia" w:ascii="仿宋" w:hAnsi="仿宋" w:eastAsia="仿宋" w:cs="宋体"/>
          <w:spacing w:val="-20"/>
          <w:kern w:val="0"/>
          <w:sz w:val="28"/>
          <w:szCs w:val="28"/>
          <w:lang w:val="en-US" w:eastAsia="zh-CN"/>
        </w:rPr>
        <w:t>该</w:t>
      </w:r>
      <w:r>
        <w:rPr>
          <w:rFonts w:hint="eastAsia" w:ascii="仿宋" w:hAnsi="仿宋" w:eastAsia="仿宋" w:cs="宋体"/>
          <w:spacing w:val="-20"/>
          <w:kern w:val="0"/>
          <w:sz w:val="28"/>
          <w:szCs w:val="28"/>
        </w:rPr>
        <w:t>评级细则采用</w:t>
      </w:r>
      <w:r>
        <w:rPr>
          <w:rFonts w:hint="eastAsia" w:ascii="仿宋" w:hAnsi="仿宋" w:eastAsia="仿宋" w:cs="宋体"/>
          <w:spacing w:val="-20"/>
          <w:kern w:val="0"/>
          <w:sz w:val="28"/>
          <w:szCs w:val="28"/>
          <w:lang w:val="en-US" w:eastAsia="zh-CN"/>
        </w:rPr>
        <w:t>五</w:t>
      </w:r>
      <w:r>
        <w:rPr>
          <w:rFonts w:hint="eastAsia" w:ascii="仿宋" w:hAnsi="仿宋" w:eastAsia="仿宋" w:cs="宋体"/>
          <w:spacing w:val="-20"/>
          <w:kern w:val="0"/>
          <w:sz w:val="28"/>
          <w:szCs w:val="28"/>
        </w:rPr>
        <w:t>级风险分类，按照本金发生损失的可能性和</w:t>
      </w:r>
      <w:r>
        <w:rPr>
          <w:rFonts w:hint="eastAsia" w:ascii="仿宋" w:hAnsi="仿宋" w:eastAsia="仿宋" w:cs="宋体"/>
          <w:spacing w:val="-20"/>
          <w:kern w:val="0"/>
          <w:sz w:val="28"/>
          <w:szCs w:val="28"/>
          <w:lang w:val="en-US" w:eastAsia="zh-CN"/>
        </w:rPr>
        <w:t>金融服务的复杂程度等因素，</w:t>
      </w:r>
      <w:r>
        <w:rPr>
          <w:rFonts w:hint="eastAsia" w:ascii="仿宋" w:hAnsi="仿宋" w:eastAsia="仿宋" w:cs="宋体"/>
          <w:spacing w:val="-20"/>
          <w:kern w:val="0"/>
          <w:sz w:val="28"/>
          <w:szCs w:val="28"/>
        </w:rPr>
        <w:t>将金融</w:t>
      </w:r>
      <w:r>
        <w:rPr>
          <w:rFonts w:hint="eastAsia" w:ascii="仿宋" w:hAnsi="仿宋" w:eastAsia="仿宋" w:cs="宋体"/>
          <w:spacing w:val="-20"/>
          <w:kern w:val="0"/>
          <w:sz w:val="28"/>
          <w:szCs w:val="28"/>
          <w:lang w:val="en-US" w:eastAsia="zh-CN"/>
        </w:rPr>
        <w:t>服务</w:t>
      </w:r>
      <w:r>
        <w:rPr>
          <w:rFonts w:hint="eastAsia" w:ascii="仿宋" w:hAnsi="仿宋" w:eastAsia="仿宋" w:cs="宋体"/>
          <w:spacing w:val="-20"/>
          <w:kern w:val="0"/>
          <w:sz w:val="28"/>
          <w:szCs w:val="28"/>
        </w:rPr>
        <w:t>按照风险程度从低到高的顺序分为</w:t>
      </w:r>
      <w:r>
        <w:rPr>
          <w:rFonts w:hint="eastAsia" w:ascii="仿宋" w:hAnsi="仿宋" w:eastAsia="仿宋" w:cs="宋体"/>
          <w:spacing w:val="-20"/>
          <w:kern w:val="0"/>
          <w:sz w:val="28"/>
          <w:szCs w:val="28"/>
          <w:lang w:val="en-US" w:eastAsia="zh-CN"/>
        </w:rPr>
        <w:t>五</w:t>
      </w:r>
      <w:r>
        <w:rPr>
          <w:rFonts w:hint="eastAsia" w:ascii="仿宋" w:hAnsi="仿宋" w:eastAsia="仿宋" w:cs="宋体"/>
          <w:spacing w:val="-20"/>
          <w:kern w:val="0"/>
          <w:sz w:val="28"/>
          <w:szCs w:val="28"/>
        </w:rPr>
        <w:t>个风险等级：</w:t>
      </w:r>
    </w:p>
    <w:p>
      <w:pPr>
        <w:snapToGrid w:val="0"/>
        <w:spacing w:line="360" w:lineRule="auto"/>
        <w:ind w:firstLine="480" w:firstLineChars="200"/>
        <w:rPr>
          <w:rFonts w:hint="default" w:ascii="仿宋" w:hAnsi="仿宋" w:eastAsia="仿宋" w:cs="宋体"/>
          <w:spacing w:val="-20"/>
          <w:kern w:val="0"/>
          <w:sz w:val="28"/>
          <w:szCs w:val="28"/>
          <w:lang w:val="en-US"/>
        </w:rPr>
      </w:pPr>
      <w:r>
        <w:rPr>
          <w:rFonts w:hint="eastAsia" w:ascii="仿宋" w:hAnsi="仿宋" w:eastAsia="仿宋" w:cs="宋体"/>
          <w:spacing w:val="-20"/>
          <w:kern w:val="0"/>
          <w:sz w:val="28"/>
          <w:szCs w:val="28"/>
        </w:rPr>
        <w:t>Level  R1----风险</w:t>
      </w:r>
      <w:r>
        <w:rPr>
          <w:rFonts w:hint="eastAsia" w:ascii="仿宋" w:hAnsi="仿宋" w:eastAsia="仿宋" w:cs="宋体"/>
          <w:spacing w:val="-20"/>
          <w:kern w:val="0"/>
          <w:sz w:val="28"/>
          <w:szCs w:val="28"/>
          <w:lang w:val="en-US" w:eastAsia="zh-CN"/>
        </w:rPr>
        <w:t>低级</w:t>
      </w:r>
      <w:r>
        <w:rPr>
          <w:rFonts w:hint="eastAsia" w:ascii="仿宋" w:hAnsi="仿宋" w:eastAsia="仿宋" w:cs="宋体"/>
          <w:spacing w:val="-20"/>
          <w:kern w:val="0"/>
          <w:sz w:val="28"/>
          <w:szCs w:val="28"/>
        </w:rPr>
        <w:t>，  对应的风险分值为[0</w:t>
      </w:r>
      <w:r>
        <w:rPr>
          <w:rFonts w:hint="eastAsia" w:ascii="仿宋" w:hAnsi="仿宋" w:eastAsia="仿宋" w:cs="宋体"/>
          <w:spacing w:val="-20"/>
          <w:kern w:val="0"/>
          <w:sz w:val="28"/>
          <w:szCs w:val="28"/>
          <w:lang w:val="en-US" w:eastAsia="zh-CN"/>
        </w:rPr>
        <w:t xml:space="preserve"> </w:t>
      </w:r>
      <w:r>
        <w:rPr>
          <w:rFonts w:hint="eastAsia" w:ascii="仿宋" w:hAnsi="仿宋" w:eastAsia="仿宋" w:cs="宋体"/>
          <w:spacing w:val="-20"/>
          <w:kern w:val="0"/>
          <w:sz w:val="28"/>
          <w:szCs w:val="28"/>
        </w:rPr>
        <w:t>,</w:t>
      </w:r>
      <w:r>
        <w:rPr>
          <w:rFonts w:hint="eastAsia" w:ascii="仿宋" w:hAnsi="仿宋" w:eastAsia="仿宋" w:cs="宋体"/>
          <w:spacing w:val="-20"/>
          <w:kern w:val="0"/>
          <w:sz w:val="28"/>
          <w:szCs w:val="28"/>
          <w:lang w:val="en-US" w:eastAsia="zh-CN"/>
        </w:rPr>
        <w:t xml:space="preserve"> 2]</w:t>
      </w:r>
    </w:p>
    <w:p>
      <w:pPr>
        <w:snapToGrid w:val="0"/>
        <w:spacing w:line="360" w:lineRule="auto"/>
        <w:ind w:firstLine="480" w:firstLineChars="200"/>
        <w:rPr>
          <w:rFonts w:hint="eastAsia" w:ascii="仿宋" w:hAnsi="仿宋" w:eastAsia="仿宋" w:cs="宋体"/>
          <w:spacing w:val="-20"/>
          <w:kern w:val="0"/>
          <w:sz w:val="28"/>
          <w:szCs w:val="28"/>
          <w:lang w:val="en-US" w:eastAsia="zh-CN"/>
        </w:rPr>
      </w:pPr>
      <w:r>
        <w:rPr>
          <w:rFonts w:hint="eastAsia" w:ascii="仿宋" w:hAnsi="仿宋" w:eastAsia="仿宋" w:cs="宋体"/>
          <w:spacing w:val="-20"/>
          <w:kern w:val="0"/>
          <w:sz w:val="28"/>
          <w:szCs w:val="28"/>
        </w:rPr>
        <w:t>Level  R2----风险中低级，对应的风险分值为</w:t>
      </w:r>
      <w:r>
        <w:rPr>
          <w:rFonts w:hint="eastAsia" w:ascii="仿宋" w:hAnsi="仿宋" w:eastAsia="仿宋" w:cs="宋体"/>
          <w:spacing w:val="-20"/>
          <w:kern w:val="0"/>
          <w:sz w:val="28"/>
          <w:szCs w:val="28"/>
          <w:lang w:val="en-US" w:eastAsia="zh-CN"/>
        </w:rPr>
        <w:t xml:space="preserve">(2 </w:t>
      </w:r>
      <w:r>
        <w:rPr>
          <w:rFonts w:hint="eastAsia" w:ascii="仿宋" w:hAnsi="仿宋" w:eastAsia="仿宋" w:cs="宋体"/>
          <w:spacing w:val="-20"/>
          <w:kern w:val="0"/>
          <w:sz w:val="28"/>
          <w:szCs w:val="28"/>
        </w:rPr>
        <w:t>,</w:t>
      </w:r>
      <w:r>
        <w:rPr>
          <w:rFonts w:hint="eastAsia" w:ascii="仿宋" w:hAnsi="仿宋" w:eastAsia="仿宋" w:cs="宋体"/>
          <w:spacing w:val="-20"/>
          <w:kern w:val="0"/>
          <w:sz w:val="28"/>
          <w:szCs w:val="28"/>
          <w:lang w:val="en-US" w:eastAsia="zh-CN"/>
        </w:rPr>
        <w:t xml:space="preserve"> </w:t>
      </w:r>
      <w:r>
        <w:rPr>
          <w:rFonts w:hint="eastAsia" w:ascii="仿宋" w:hAnsi="仿宋" w:eastAsia="仿宋" w:cs="宋体"/>
          <w:spacing w:val="-20"/>
          <w:kern w:val="0"/>
          <w:sz w:val="28"/>
          <w:szCs w:val="28"/>
        </w:rPr>
        <w:t>2.5</w:t>
      </w:r>
      <w:r>
        <w:rPr>
          <w:rFonts w:hint="eastAsia" w:ascii="仿宋" w:hAnsi="仿宋" w:eastAsia="仿宋" w:cs="宋体"/>
          <w:spacing w:val="-20"/>
          <w:kern w:val="0"/>
          <w:sz w:val="28"/>
          <w:szCs w:val="28"/>
          <w:lang w:val="en-US" w:eastAsia="zh-CN"/>
        </w:rPr>
        <w:t>]</w:t>
      </w:r>
    </w:p>
    <w:p>
      <w:pPr>
        <w:snapToGrid w:val="0"/>
        <w:spacing w:line="360" w:lineRule="auto"/>
        <w:ind w:firstLine="480" w:firstLineChars="200"/>
        <w:rPr>
          <w:rFonts w:hint="eastAsia" w:ascii="仿宋" w:hAnsi="仿宋" w:eastAsia="仿宋" w:cs="宋体"/>
          <w:spacing w:val="-20"/>
          <w:kern w:val="0"/>
          <w:sz w:val="28"/>
          <w:szCs w:val="28"/>
          <w:lang w:val="en-US" w:eastAsia="zh-CN"/>
        </w:rPr>
      </w:pPr>
      <w:r>
        <w:rPr>
          <w:rFonts w:hint="eastAsia" w:ascii="仿宋" w:hAnsi="仿宋" w:eastAsia="仿宋" w:cs="宋体"/>
          <w:spacing w:val="-20"/>
          <w:kern w:val="0"/>
          <w:sz w:val="28"/>
          <w:szCs w:val="28"/>
        </w:rPr>
        <w:t>Level  R3----风险中级，   对应的风险分值为</w:t>
      </w:r>
      <w:r>
        <w:rPr>
          <w:rFonts w:hint="eastAsia" w:ascii="仿宋" w:hAnsi="仿宋" w:eastAsia="仿宋" w:cs="宋体"/>
          <w:spacing w:val="-20"/>
          <w:kern w:val="0"/>
          <w:sz w:val="28"/>
          <w:szCs w:val="28"/>
          <w:lang w:val="en-US" w:eastAsia="zh-CN"/>
        </w:rPr>
        <w:t>(</w:t>
      </w:r>
      <w:r>
        <w:rPr>
          <w:rFonts w:hint="eastAsia" w:ascii="仿宋" w:hAnsi="仿宋" w:eastAsia="仿宋" w:cs="宋体"/>
          <w:spacing w:val="-20"/>
          <w:kern w:val="0"/>
          <w:sz w:val="28"/>
          <w:szCs w:val="28"/>
        </w:rPr>
        <w:t>2.5</w:t>
      </w:r>
      <w:r>
        <w:rPr>
          <w:rFonts w:hint="eastAsia" w:ascii="仿宋" w:hAnsi="仿宋" w:eastAsia="仿宋" w:cs="宋体"/>
          <w:spacing w:val="-20"/>
          <w:kern w:val="0"/>
          <w:sz w:val="28"/>
          <w:szCs w:val="28"/>
          <w:lang w:val="en-US" w:eastAsia="zh-CN"/>
        </w:rPr>
        <w:t xml:space="preserve"> </w:t>
      </w:r>
      <w:r>
        <w:rPr>
          <w:rFonts w:hint="eastAsia" w:ascii="仿宋" w:hAnsi="仿宋" w:eastAsia="仿宋" w:cs="宋体"/>
          <w:spacing w:val="-20"/>
          <w:kern w:val="0"/>
          <w:sz w:val="28"/>
          <w:szCs w:val="28"/>
        </w:rPr>
        <w:t>,</w:t>
      </w:r>
      <w:r>
        <w:rPr>
          <w:rFonts w:hint="eastAsia" w:ascii="仿宋" w:hAnsi="仿宋" w:eastAsia="仿宋" w:cs="宋体"/>
          <w:spacing w:val="-20"/>
          <w:kern w:val="0"/>
          <w:sz w:val="28"/>
          <w:szCs w:val="28"/>
          <w:lang w:val="en-US" w:eastAsia="zh-CN"/>
        </w:rPr>
        <w:t xml:space="preserve"> </w:t>
      </w:r>
      <w:r>
        <w:rPr>
          <w:rFonts w:hint="eastAsia" w:ascii="仿宋" w:hAnsi="仿宋" w:eastAsia="仿宋" w:cs="宋体"/>
          <w:spacing w:val="-20"/>
          <w:kern w:val="0"/>
          <w:sz w:val="28"/>
          <w:szCs w:val="28"/>
        </w:rPr>
        <w:t>3</w:t>
      </w:r>
      <w:r>
        <w:rPr>
          <w:rFonts w:hint="eastAsia" w:ascii="仿宋" w:hAnsi="仿宋" w:eastAsia="仿宋" w:cs="宋体"/>
          <w:spacing w:val="-20"/>
          <w:kern w:val="0"/>
          <w:sz w:val="28"/>
          <w:szCs w:val="28"/>
          <w:lang w:val="en-US" w:eastAsia="zh-CN"/>
        </w:rPr>
        <w:t>]</w:t>
      </w:r>
    </w:p>
    <w:p>
      <w:pPr>
        <w:snapToGrid w:val="0"/>
        <w:spacing w:line="360" w:lineRule="auto"/>
        <w:ind w:firstLine="480" w:firstLineChars="200"/>
        <w:rPr>
          <w:rFonts w:hint="eastAsia" w:ascii="仿宋" w:hAnsi="仿宋" w:eastAsia="仿宋" w:cs="宋体"/>
          <w:spacing w:val="-20"/>
          <w:kern w:val="0"/>
          <w:sz w:val="28"/>
          <w:szCs w:val="28"/>
          <w:lang w:val="en-US" w:eastAsia="zh-CN"/>
        </w:rPr>
      </w:pPr>
      <w:r>
        <w:rPr>
          <w:rFonts w:hint="eastAsia" w:ascii="仿宋" w:hAnsi="仿宋" w:eastAsia="仿宋" w:cs="宋体"/>
          <w:spacing w:val="-20"/>
          <w:kern w:val="0"/>
          <w:sz w:val="28"/>
          <w:szCs w:val="28"/>
        </w:rPr>
        <w:t>Level  R4----风险中高级，对应的风险分值为</w:t>
      </w:r>
      <w:r>
        <w:rPr>
          <w:rFonts w:hint="eastAsia" w:ascii="仿宋" w:hAnsi="仿宋" w:eastAsia="仿宋" w:cs="宋体"/>
          <w:spacing w:val="-20"/>
          <w:kern w:val="0"/>
          <w:sz w:val="28"/>
          <w:szCs w:val="28"/>
          <w:lang w:val="en-US" w:eastAsia="zh-CN"/>
        </w:rPr>
        <w:t>(</w:t>
      </w:r>
      <w:r>
        <w:rPr>
          <w:rFonts w:hint="eastAsia" w:ascii="仿宋" w:hAnsi="仿宋" w:eastAsia="仿宋" w:cs="宋体"/>
          <w:spacing w:val="-20"/>
          <w:kern w:val="0"/>
          <w:sz w:val="28"/>
          <w:szCs w:val="28"/>
        </w:rPr>
        <w:t>3</w:t>
      </w:r>
      <w:r>
        <w:rPr>
          <w:rFonts w:hint="eastAsia" w:ascii="仿宋" w:hAnsi="仿宋" w:eastAsia="仿宋" w:cs="宋体"/>
          <w:spacing w:val="-20"/>
          <w:kern w:val="0"/>
          <w:sz w:val="28"/>
          <w:szCs w:val="28"/>
          <w:lang w:val="en-US" w:eastAsia="zh-CN"/>
        </w:rPr>
        <w:t xml:space="preserve"> </w:t>
      </w:r>
      <w:r>
        <w:rPr>
          <w:rFonts w:hint="eastAsia" w:ascii="仿宋" w:hAnsi="仿宋" w:eastAsia="仿宋" w:cs="宋体"/>
          <w:spacing w:val="-20"/>
          <w:kern w:val="0"/>
          <w:sz w:val="28"/>
          <w:szCs w:val="28"/>
        </w:rPr>
        <w:t>,</w:t>
      </w:r>
      <w:r>
        <w:rPr>
          <w:rFonts w:hint="eastAsia" w:ascii="仿宋" w:hAnsi="仿宋" w:eastAsia="仿宋" w:cs="宋体"/>
          <w:spacing w:val="-20"/>
          <w:kern w:val="0"/>
          <w:sz w:val="28"/>
          <w:szCs w:val="28"/>
          <w:lang w:val="en-US" w:eastAsia="zh-CN"/>
        </w:rPr>
        <w:t xml:space="preserve"> </w:t>
      </w:r>
      <w:r>
        <w:rPr>
          <w:rFonts w:hint="eastAsia" w:ascii="仿宋" w:hAnsi="仿宋" w:eastAsia="仿宋" w:cs="宋体"/>
          <w:spacing w:val="-20"/>
          <w:kern w:val="0"/>
          <w:sz w:val="28"/>
          <w:szCs w:val="28"/>
        </w:rPr>
        <w:t>4</w:t>
      </w:r>
      <w:r>
        <w:rPr>
          <w:rFonts w:hint="eastAsia" w:ascii="仿宋" w:hAnsi="仿宋" w:eastAsia="仿宋" w:cs="宋体"/>
          <w:spacing w:val="-20"/>
          <w:kern w:val="0"/>
          <w:sz w:val="28"/>
          <w:szCs w:val="28"/>
          <w:lang w:val="en-US" w:eastAsia="zh-CN"/>
        </w:rPr>
        <w:t>]</w:t>
      </w:r>
    </w:p>
    <w:p>
      <w:pPr>
        <w:snapToGrid w:val="0"/>
        <w:spacing w:line="360" w:lineRule="auto"/>
        <w:ind w:firstLine="480" w:firstLineChars="200"/>
        <w:rPr>
          <w:rFonts w:ascii="仿宋" w:hAnsi="仿宋" w:eastAsia="仿宋" w:cs="宋体"/>
          <w:spacing w:val="-20"/>
          <w:kern w:val="0"/>
          <w:sz w:val="28"/>
          <w:szCs w:val="28"/>
        </w:rPr>
      </w:pPr>
      <w:r>
        <w:rPr>
          <w:rFonts w:hint="eastAsia" w:ascii="仿宋" w:hAnsi="仿宋" w:eastAsia="仿宋" w:cs="宋体"/>
          <w:spacing w:val="-20"/>
          <w:kern w:val="0"/>
          <w:sz w:val="28"/>
          <w:szCs w:val="28"/>
        </w:rPr>
        <w:t>Level  R5----风险高级，对应的风险分值为</w:t>
      </w:r>
      <w:r>
        <w:rPr>
          <w:rFonts w:hint="eastAsia" w:ascii="仿宋" w:hAnsi="仿宋" w:eastAsia="仿宋" w:cs="宋体"/>
          <w:spacing w:val="-20"/>
          <w:kern w:val="0"/>
          <w:sz w:val="28"/>
          <w:szCs w:val="28"/>
          <w:lang w:val="en-US" w:eastAsia="zh-CN"/>
        </w:rPr>
        <w:t>(</w:t>
      </w:r>
      <w:r>
        <w:rPr>
          <w:rFonts w:hint="eastAsia" w:ascii="仿宋" w:hAnsi="仿宋" w:eastAsia="仿宋" w:cs="宋体"/>
          <w:spacing w:val="-20"/>
          <w:kern w:val="0"/>
          <w:sz w:val="28"/>
          <w:szCs w:val="28"/>
        </w:rPr>
        <w:t>4</w:t>
      </w:r>
      <w:r>
        <w:rPr>
          <w:rFonts w:hint="eastAsia" w:ascii="仿宋" w:hAnsi="仿宋" w:eastAsia="仿宋" w:cs="宋体"/>
          <w:spacing w:val="-20"/>
          <w:kern w:val="0"/>
          <w:sz w:val="28"/>
          <w:szCs w:val="28"/>
          <w:lang w:val="en-US" w:eastAsia="zh-CN"/>
        </w:rPr>
        <w:t xml:space="preserve"> , </w:t>
      </w:r>
      <w:r>
        <w:rPr>
          <w:rFonts w:hint="eastAsia" w:ascii="仿宋" w:hAnsi="仿宋" w:eastAsia="仿宋" w:cs="宋体"/>
          <w:spacing w:val="-20"/>
          <w:kern w:val="0"/>
          <w:sz w:val="28"/>
          <w:szCs w:val="28"/>
        </w:rPr>
        <w:t>5]</w:t>
      </w:r>
    </w:p>
    <w:p>
      <w:pPr>
        <w:autoSpaceDE w:val="0"/>
        <w:autoSpaceDN w:val="0"/>
        <w:adjustRightInd w:val="0"/>
        <w:snapToGrid w:val="0"/>
        <w:spacing w:line="360" w:lineRule="auto"/>
        <w:ind w:firstLine="482" w:firstLineChars="200"/>
        <w:jc w:val="left"/>
        <w:rPr>
          <w:rFonts w:hint="default" w:ascii="仿宋" w:hAnsi="仿宋" w:eastAsia="仿宋" w:cs="宋体"/>
          <w:b/>
          <w:bCs/>
          <w:spacing w:val="-20"/>
          <w:kern w:val="0"/>
          <w:sz w:val="28"/>
          <w:szCs w:val="28"/>
          <w:lang w:val="en-US" w:eastAsia="zh-CN"/>
        </w:rPr>
      </w:pPr>
      <w:r>
        <w:rPr>
          <w:rFonts w:hint="eastAsia" w:ascii="仿宋" w:hAnsi="仿宋" w:eastAsia="仿宋" w:cs="宋体"/>
          <w:b/>
          <w:bCs/>
          <w:spacing w:val="-20"/>
          <w:kern w:val="0"/>
          <w:sz w:val="28"/>
          <w:szCs w:val="28"/>
          <w:lang w:val="en-US" w:eastAsia="zh-CN"/>
        </w:rPr>
        <w:t>具体评级方法如下：</w:t>
      </w:r>
    </w:p>
    <w:p>
      <w:pPr>
        <w:numPr>
          <w:ilvl w:val="0"/>
          <w:numId w:val="1"/>
        </w:numPr>
        <w:autoSpaceDE w:val="0"/>
        <w:autoSpaceDN w:val="0"/>
        <w:adjustRightInd w:val="0"/>
        <w:snapToGrid w:val="0"/>
        <w:spacing w:line="360" w:lineRule="auto"/>
        <w:ind w:firstLine="480" w:firstLineChars="200"/>
        <w:jc w:val="left"/>
        <w:rPr>
          <w:rFonts w:hint="eastAsia" w:ascii="仿宋" w:hAnsi="仿宋" w:eastAsia="仿宋" w:cs="宋体"/>
          <w:spacing w:val="-20"/>
          <w:kern w:val="0"/>
          <w:sz w:val="28"/>
          <w:szCs w:val="28"/>
        </w:rPr>
      </w:pPr>
      <w:r>
        <w:rPr>
          <w:rFonts w:hint="eastAsia" w:ascii="仿宋" w:hAnsi="仿宋" w:eastAsia="仿宋" w:cs="宋体"/>
          <w:spacing w:val="-20"/>
          <w:kern w:val="0"/>
          <w:sz w:val="28"/>
          <w:szCs w:val="28"/>
        </w:rPr>
        <w:t>根据不同金融</w:t>
      </w:r>
      <w:r>
        <w:rPr>
          <w:rFonts w:hint="eastAsia" w:ascii="仿宋" w:hAnsi="仿宋" w:eastAsia="仿宋" w:cs="宋体"/>
          <w:spacing w:val="-20"/>
          <w:kern w:val="0"/>
          <w:sz w:val="28"/>
          <w:szCs w:val="28"/>
          <w:lang w:val="en-US" w:eastAsia="zh-CN"/>
        </w:rPr>
        <w:t>服务</w:t>
      </w:r>
      <w:r>
        <w:rPr>
          <w:rFonts w:hint="eastAsia" w:ascii="仿宋" w:hAnsi="仿宋" w:eastAsia="仿宋" w:cs="宋体"/>
          <w:spacing w:val="-20"/>
          <w:kern w:val="0"/>
          <w:sz w:val="28"/>
          <w:szCs w:val="28"/>
        </w:rPr>
        <w:t>类别所对应的</w:t>
      </w:r>
      <w:r>
        <w:rPr>
          <w:rFonts w:hint="eastAsia" w:ascii="仿宋" w:hAnsi="仿宋" w:eastAsia="仿宋" w:cs="宋体"/>
          <w:bCs/>
          <w:spacing w:val="-20"/>
          <w:kern w:val="0"/>
          <w:sz w:val="28"/>
          <w:szCs w:val="28"/>
        </w:rPr>
        <w:t>投资者金融资产要求</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投资者投资经历要求</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业务相关金融服务范围</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交易流动性</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到期时限</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杠杆水平</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最低投资金额</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波动率</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交易机制</w:t>
      </w:r>
      <w:r>
        <w:rPr>
          <w:rFonts w:hint="eastAsia" w:ascii="仿宋" w:hAnsi="仿宋" w:eastAsia="仿宋" w:cs="宋体"/>
          <w:bCs/>
          <w:spacing w:val="-20"/>
          <w:kern w:val="0"/>
          <w:sz w:val="28"/>
          <w:szCs w:val="28"/>
          <w:lang w:eastAsia="zh-CN"/>
        </w:rPr>
        <w:t>、</w:t>
      </w:r>
      <w:r>
        <w:rPr>
          <w:rFonts w:hint="eastAsia" w:ascii="仿宋" w:hAnsi="仿宋" w:eastAsia="仿宋" w:cs="宋体"/>
          <w:bCs/>
          <w:spacing w:val="-20"/>
          <w:kern w:val="0"/>
          <w:sz w:val="28"/>
          <w:szCs w:val="28"/>
        </w:rPr>
        <w:t>最大损失</w:t>
      </w:r>
      <w:r>
        <w:rPr>
          <w:rFonts w:hint="eastAsia" w:ascii="仿宋" w:hAnsi="仿宋" w:eastAsia="仿宋" w:cs="宋体"/>
          <w:bCs/>
          <w:spacing w:val="-20"/>
          <w:kern w:val="0"/>
          <w:sz w:val="28"/>
          <w:szCs w:val="28"/>
          <w:lang w:val="en-US" w:eastAsia="zh-CN"/>
        </w:rPr>
        <w:t>等</w:t>
      </w:r>
      <w:r>
        <w:rPr>
          <w:rFonts w:hint="eastAsia" w:ascii="仿宋" w:hAnsi="仿宋" w:eastAsia="仿宋" w:cs="宋体"/>
          <w:spacing w:val="-20"/>
          <w:kern w:val="0"/>
          <w:sz w:val="28"/>
          <w:szCs w:val="28"/>
        </w:rPr>
        <w:t>因素，各类金融</w:t>
      </w:r>
      <w:r>
        <w:rPr>
          <w:rFonts w:hint="eastAsia" w:ascii="仿宋" w:hAnsi="仿宋" w:eastAsia="仿宋" w:cs="宋体"/>
          <w:spacing w:val="-20"/>
          <w:kern w:val="0"/>
          <w:sz w:val="28"/>
          <w:szCs w:val="28"/>
          <w:lang w:val="en-US" w:eastAsia="zh-CN"/>
        </w:rPr>
        <w:t>服务</w:t>
      </w:r>
      <w:r>
        <w:rPr>
          <w:rFonts w:hint="eastAsia" w:ascii="仿宋" w:hAnsi="仿宋" w:eastAsia="仿宋" w:cs="宋体"/>
          <w:spacing w:val="-20"/>
          <w:kern w:val="0"/>
          <w:sz w:val="28"/>
          <w:szCs w:val="28"/>
        </w:rPr>
        <w:t>的最低风险评级规定如下：</w:t>
      </w:r>
    </w:p>
    <w:tbl>
      <w:tblPr>
        <w:tblStyle w:val="12"/>
        <w:tblW w:w="9542" w:type="dxa"/>
        <w:tblInd w:w="0" w:type="dxa"/>
        <w:tblBorders>
          <w:top w:val="single" w:color="31849B" w:themeColor="accent5" w:themeShade="BF" w:sz="4" w:space="0"/>
          <w:left w:val="single" w:color="31849B" w:themeColor="accent5" w:themeShade="BF" w:sz="4" w:space="0"/>
          <w:bottom w:val="single" w:color="31849B" w:themeColor="accent5" w:themeShade="BF" w:sz="4" w:space="0"/>
          <w:right w:val="single" w:color="31849B" w:themeColor="accent5" w:themeShade="BF" w:sz="4" w:space="0"/>
          <w:insideH w:val="single" w:color="31849B" w:themeColor="accent5" w:themeShade="BF" w:sz="4" w:space="0"/>
          <w:insideV w:val="single" w:color="31849B" w:themeColor="accent5" w:themeShade="BF" w:sz="4" w:space="0"/>
        </w:tblBorders>
        <w:tblLayout w:type="fixed"/>
        <w:tblCellMar>
          <w:top w:w="0" w:type="dxa"/>
          <w:left w:w="108" w:type="dxa"/>
          <w:bottom w:w="0" w:type="dxa"/>
          <w:right w:w="108" w:type="dxa"/>
        </w:tblCellMar>
      </w:tblPr>
      <w:tblGrid>
        <w:gridCol w:w="8042"/>
        <w:gridCol w:w="1500"/>
      </w:tblGrid>
      <w:tr>
        <w:tblPrEx>
          <w:tblBorders>
            <w:top w:val="single" w:color="31849B" w:themeColor="accent5" w:themeShade="BF" w:sz="4" w:space="0"/>
            <w:left w:val="single" w:color="31849B" w:themeColor="accent5" w:themeShade="BF" w:sz="4" w:space="0"/>
            <w:bottom w:val="single" w:color="31849B" w:themeColor="accent5" w:themeShade="BF" w:sz="4" w:space="0"/>
            <w:right w:val="single" w:color="31849B" w:themeColor="accent5" w:themeShade="BF" w:sz="4" w:space="0"/>
            <w:insideH w:val="single" w:color="31849B" w:themeColor="accent5" w:themeShade="BF" w:sz="4" w:space="0"/>
            <w:insideV w:val="single" w:color="31849B" w:themeColor="accent5" w:themeShade="BF" w:sz="4" w:space="0"/>
          </w:tblBorders>
          <w:tblCellMar>
            <w:top w:w="0" w:type="dxa"/>
            <w:left w:w="108" w:type="dxa"/>
            <w:bottom w:w="0" w:type="dxa"/>
            <w:right w:w="108" w:type="dxa"/>
          </w:tblCellMar>
        </w:tblPrEx>
        <w:trPr>
          <w:trHeight w:val="110" w:hRule="atLeast"/>
        </w:trPr>
        <w:tc>
          <w:tcPr>
            <w:tcW w:w="8042" w:type="dxa"/>
          </w:tcPr>
          <w:p>
            <w:pPr>
              <w:pStyle w:val="21"/>
              <w:spacing w:line="360" w:lineRule="auto"/>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lang w:val="en-US" w:eastAsia="zh-CN"/>
              </w:rPr>
              <w:t>金融服务</w:t>
            </w:r>
            <w:r>
              <w:rPr>
                <w:rFonts w:hint="eastAsia" w:ascii="仿宋" w:hAnsi="仿宋" w:eastAsia="仿宋" w:cs="Times New Roman"/>
                <w:color w:val="auto"/>
                <w:spacing w:val="-20"/>
                <w:kern w:val="2"/>
                <w:sz w:val="24"/>
                <w:szCs w:val="24"/>
              </w:rPr>
              <w:t>类型</w:t>
            </w:r>
          </w:p>
        </w:tc>
        <w:tc>
          <w:tcPr>
            <w:tcW w:w="1500" w:type="dxa"/>
          </w:tcPr>
          <w:p>
            <w:pPr>
              <w:pStyle w:val="21"/>
              <w:spacing w:line="360" w:lineRule="auto"/>
              <w:ind w:firstLine="34"/>
              <w:jc w:val="center"/>
              <w:rPr>
                <w:rFonts w:hint="eastAsia" w:ascii="仿宋" w:hAnsi="仿宋" w:eastAsia="仿宋" w:cs="Times New Roman"/>
                <w:color w:val="auto"/>
                <w:spacing w:val="-20"/>
                <w:kern w:val="2"/>
                <w:sz w:val="24"/>
                <w:szCs w:val="24"/>
                <w:lang w:val="en-US" w:eastAsia="zh-CN"/>
              </w:rPr>
            </w:pPr>
            <w:r>
              <w:rPr>
                <w:rFonts w:hint="eastAsia" w:ascii="仿宋" w:hAnsi="仿宋" w:eastAsia="仿宋" w:cs="Times New Roman"/>
                <w:color w:val="auto"/>
                <w:spacing w:val="-20"/>
                <w:kern w:val="2"/>
                <w:sz w:val="24"/>
                <w:szCs w:val="24"/>
              </w:rPr>
              <w:t>最低风险</w:t>
            </w:r>
            <w:r>
              <w:rPr>
                <w:rFonts w:hint="eastAsia" w:ascii="仿宋" w:hAnsi="仿宋" w:eastAsia="仿宋" w:cs="Times New Roman"/>
                <w:color w:val="auto"/>
                <w:spacing w:val="-20"/>
                <w:kern w:val="2"/>
                <w:sz w:val="24"/>
                <w:szCs w:val="24"/>
                <w:lang w:val="en-US" w:eastAsia="zh-CN"/>
              </w:rPr>
              <w:t>等级</w:t>
            </w:r>
          </w:p>
        </w:tc>
      </w:tr>
      <w:tr>
        <w:tblPrEx>
          <w:tblBorders>
            <w:top w:val="single" w:color="31849B" w:themeColor="accent5" w:themeShade="BF" w:sz="4" w:space="0"/>
            <w:left w:val="single" w:color="31849B" w:themeColor="accent5" w:themeShade="BF" w:sz="4" w:space="0"/>
            <w:bottom w:val="single" w:color="31849B" w:themeColor="accent5" w:themeShade="BF" w:sz="4" w:space="0"/>
            <w:right w:val="single" w:color="31849B" w:themeColor="accent5" w:themeShade="BF" w:sz="4" w:space="0"/>
            <w:insideH w:val="single" w:color="31849B" w:themeColor="accent5" w:themeShade="BF" w:sz="4" w:space="0"/>
            <w:insideV w:val="single" w:color="31849B" w:themeColor="accent5" w:themeShade="BF" w:sz="4" w:space="0"/>
          </w:tblBorders>
          <w:tblCellMar>
            <w:top w:w="0" w:type="dxa"/>
            <w:left w:w="108" w:type="dxa"/>
            <w:bottom w:w="0" w:type="dxa"/>
            <w:right w:w="108" w:type="dxa"/>
          </w:tblCellMar>
        </w:tblPrEx>
        <w:trPr>
          <w:trHeight w:val="110" w:hRule="atLeast"/>
        </w:trPr>
        <w:tc>
          <w:tcPr>
            <w:tcW w:w="8042" w:type="dxa"/>
          </w:tcPr>
          <w:p>
            <w:pPr>
              <w:pStyle w:val="21"/>
              <w:spacing w:line="360" w:lineRule="auto"/>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rPr>
              <w:t>债券质押式逆回购</w:t>
            </w:r>
          </w:p>
        </w:tc>
        <w:tc>
          <w:tcPr>
            <w:tcW w:w="1500" w:type="dxa"/>
            <w:vAlign w:val="center"/>
          </w:tcPr>
          <w:p>
            <w:pPr>
              <w:pStyle w:val="21"/>
              <w:spacing w:line="360" w:lineRule="auto"/>
              <w:ind w:firstLine="480"/>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rPr>
              <w:t>R1</w:t>
            </w:r>
          </w:p>
        </w:tc>
      </w:tr>
      <w:tr>
        <w:tblPrEx>
          <w:tblBorders>
            <w:top w:val="single" w:color="31849B" w:themeColor="accent5" w:themeShade="BF" w:sz="4" w:space="0"/>
            <w:left w:val="single" w:color="31849B" w:themeColor="accent5" w:themeShade="BF" w:sz="4" w:space="0"/>
            <w:bottom w:val="single" w:color="31849B" w:themeColor="accent5" w:themeShade="BF" w:sz="4" w:space="0"/>
            <w:right w:val="single" w:color="31849B" w:themeColor="accent5" w:themeShade="BF" w:sz="4" w:space="0"/>
            <w:insideH w:val="single" w:color="31849B" w:themeColor="accent5" w:themeShade="BF" w:sz="4" w:space="0"/>
            <w:insideV w:val="single" w:color="31849B" w:themeColor="accent5" w:themeShade="BF" w:sz="4" w:space="0"/>
          </w:tblBorders>
          <w:tblCellMar>
            <w:top w:w="0" w:type="dxa"/>
            <w:left w:w="108" w:type="dxa"/>
            <w:bottom w:w="0" w:type="dxa"/>
            <w:right w:w="108" w:type="dxa"/>
          </w:tblCellMar>
        </w:tblPrEx>
        <w:trPr>
          <w:trHeight w:val="110" w:hRule="atLeast"/>
        </w:trPr>
        <w:tc>
          <w:tcPr>
            <w:tcW w:w="8042" w:type="dxa"/>
          </w:tcPr>
          <w:p>
            <w:pPr>
              <w:pStyle w:val="21"/>
              <w:spacing w:line="360" w:lineRule="auto"/>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rPr>
              <w:t>转融通出借</w:t>
            </w:r>
          </w:p>
        </w:tc>
        <w:tc>
          <w:tcPr>
            <w:tcW w:w="1500" w:type="dxa"/>
            <w:vAlign w:val="center"/>
          </w:tcPr>
          <w:p>
            <w:pPr>
              <w:pStyle w:val="21"/>
              <w:spacing w:line="360" w:lineRule="auto"/>
              <w:ind w:firstLine="480"/>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rPr>
              <w:t>R2</w:t>
            </w:r>
          </w:p>
        </w:tc>
      </w:tr>
      <w:tr>
        <w:tblPrEx>
          <w:tblBorders>
            <w:top w:val="single" w:color="31849B" w:themeColor="accent5" w:themeShade="BF" w:sz="4" w:space="0"/>
            <w:left w:val="single" w:color="31849B" w:themeColor="accent5" w:themeShade="BF" w:sz="4" w:space="0"/>
            <w:bottom w:val="single" w:color="31849B" w:themeColor="accent5" w:themeShade="BF" w:sz="4" w:space="0"/>
            <w:right w:val="single" w:color="31849B" w:themeColor="accent5" w:themeShade="BF" w:sz="4" w:space="0"/>
            <w:insideH w:val="single" w:color="31849B" w:themeColor="accent5" w:themeShade="BF" w:sz="4" w:space="0"/>
            <w:insideV w:val="single" w:color="31849B" w:themeColor="accent5" w:themeShade="BF" w:sz="4" w:space="0"/>
          </w:tblBorders>
          <w:tblCellMar>
            <w:top w:w="0" w:type="dxa"/>
            <w:left w:w="108" w:type="dxa"/>
            <w:bottom w:w="0" w:type="dxa"/>
            <w:right w:w="108" w:type="dxa"/>
          </w:tblCellMar>
        </w:tblPrEx>
        <w:trPr>
          <w:trHeight w:val="245" w:hRule="atLeast"/>
        </w:trPr>
        <w:tc>
          <w:tcPr>
            <w:tcW w:w="8042" w:type="dxa"/>
          </w:tcPr>
          <w:p>
            <w:pPr>
              <w:pStyle w:val="21"/>
              <w:spacing w:line="360" w:lineRule="auto"/>
              <w:rPr>
                <w:rFonts w:hint="default" w:ascii="仿宋" w:hAnsi="仿宋" w:eastAsia="仿宋" w:cs="Times New Roman"/>
                <w:color w:val="auto"/>
                <w:spacing w:val="-20"/>
                <w:kern w:val="2"/>
                <w:sz w:val="24"/>
                <w:szCs w:val="24"/>
                <w:lang w:val="en-US" w:eastAsia="zh-CN"/>
              </w:rPr>
            </w:pPr>
            <w:r>
              <w:rPr>
                <w:rFonts w:hint="eastAsia" w:ascii="仿宋" w:hAnsi="仿宋" w:eastAsia="仿宋" w:cs="Times New Roman"/>
                <w:color w:val="auto"/>
                <w:spacing w:val="-20"/>
                <w:kern w:val="2"/>
                <w:sz w:val="24"/>
                <w:szCs w:val="24"/>
              </w:rPr>
              <w:t>A股</w:t>
            </w:r>
            <w:r>
              <w:rPr>
                <w:rFonts w:hint="eastAsia" w:ascii="仿宋" w:hAnsi="仿宋" w:eastAsia="仿宋" w:cs="Times New Roman"/>
                <w:color w:val="auto"/>
                <w:spacing w:val="-20"/>
                <w:kern w:val="2"/>
                <w:sz w:val="24"/>
                <w:szCs w:val="24"/>
                <w:lang w:eastAsia="zh-CN"/>
              </w:rPr>
              <w:t>、B股、优先股、港股通、沪深交易所REITs业务、LOF基金买卖、ETF买卖、债券ETF买卖、股票期权一级交易权限、</w:t>
            </w:r>
            <w:r>
              <w:rPr>
                <w:rFonts w:hint="eastAsia" w:ascii="仿宋" w:hAnsi="仿宋" w:eastAsia="仿宋" w:cs="Times New Roman"/>
                <w:color w:val="auto"/>
                <w:spacing w:val="-20"/>
                <w:kern w:val="2"/>
                <w:sz w:val="24"/>
                <w:szCs w:val="24"/>
                <w:lang w:val="en-US" w:eastAsia="zh-CN"/>
              </w:rPr>
              <w:t>沪深可转债</w:t>
            </w:r>
          </w:p>
        </w:tc>
        <w:tc>
          <w:tcPr>
            <w:tcW w:w="1500" w:type="dxa"/>
            <w:vAlign w:val="center"/>
          </w:tcPr>
          <w:p>
            <w:pPr>
              <w:pStyle w:val="21"/>
              <w:spacing w:line="360" w:lineRule="auto"/>
              <w:ind w:firstLine="480"/>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rPr>
              <w:t>R3</w:t>
            </w:r>
          </w:p>
        </w:tc>
      </w:tr>
      <w:tr>
        <w:tblPrEx>
          <w:tblBorders>
            <w:top w:val="single" w:color="31849B" w:themeColor="accent5" w:themeShade="BF" w:sz="4" w:space="0"/>
            <w:left w:val="single" w:color="31849B" w:themeColor="accent5" w:themeShade="BF" w:sz="4" w:space="0"/>
            <w:bottom w:val="single" w:color="31849B" w:themeColor="accent5" w:themeShade="BF" w:sz="4" w:space="0"/>
            <w:right w:val="single" w:color="31849B" w:themeColor="accent5" w:themeShade="BF" w:sz="4" w:space="0"/>
            <w:insideH w:val="single" w:color="31849B" w:themeColor="accent5" w:themeShade="BF" w:sz="4" w:space="0"/>
            <w:insideV w:val="single" w:color="31849B" w:themeColor="accent5" w:themeShade="BF" w:sz="4" w:space="0"/>
          </w:tblBorders>
          <w:tblCellMar>
            <w:top w:w="0" w:type="dxa"/>
            <w:left w:w="108" w:type="dxa"/>
            <w:bottom w:w="0" w:type="dxa"/>
            <w:right w:w="108" w:type="dxa"/>
          </w:tblCellMar>
        </w:tblPrEx>
        <w:trPr>
          <w:trHeight w:val="1283" w:hRule="atLeast"/>
        </w:trPr>
        <w:tc>
          <w:tcPr>
            <w:tcW w:w="8042" w:type="dxa"/>
          </w:tcPr>
          <w:p>
            <w:pPr>
              <w:pStyle w:val="21"/>
              <w:spacing w:line="360" w:lineRule="auto"/>
              <w:rPr>
                <w:rFonts w:hint="default" w:ascii="仿宋" w:hAnsi="仿宋" w:eastAsia="仿宋" w:cs="Times New Roman"/>
                <w:color w:val="auto"/>
                <w:spacing w:val="-20"/>
                <w:kern w:val="2"/>
                <w:sz w:val="24"/>
                <w:szCs w:val="24"/>
                <w:lang w:val="en-US" w:eastAsia="zh-CN"/>
              </w:rPr>
            </w:pPr>
            <w:r>
              <w:rPr>
                <w:rFonts w:hint="eastAsia" w:ascii="仿宋" w:hAnsi="仿宋" w:eastAsia="仿宋" w:cs="Times New Roman"/>
                <w:color w:val="auto"/>
                <w:spacing w:val="-20"/>
                <w:kern w:val="2"/>
                <w:sz w:val="24"/>
                <w:szCs w:val="24"/>
              </w:rPr>
              <w:t>两网及退市公司股票</w:t>
            </w:r>
            <w:r>
              <w:rPr>
                <w:rFonts w:hint="eastAsia" w:ascii="仿宋" w:hAnsi="仿宋" w:eastAsia="仿宋" w:cs="Times New Roman"/>
                <w:color w:val="auto"/>
                <w:spacing w:val="-20"/>
                <w:kern w:val="2"/>
                <w:sz w:val="24"/>
                <w:szCs w:val="24"/>
                <w:lang w:eastAsia="zh-CN"/>
              </w:rPr>
              <w:t>、</w:t>
            </w:r>
            <w:r>
              <w:rPr>
                <w:rFonts w:hint="eastAsia" w:ascii="仿宋" w:hAnsi="仿宋" w:eastAsia="仿宋" w:cs="Times New Roman"/>
                <w:color w:val="auto"/>
                <w:spacing w:val="-20"/>
                <w:kern w:val="2"/>
                <w:sz w:val="24"/>
                <w:szCs w:val="24"/>
                <w:lang w:val="en-US" w:eastAsia="zh-CN"/>
              </w:rPr>
              <w:t>退市可转债、</w:t>
            </w:r>
            <w:r>
              <w:rPr>
                <w:rFonts w:hint="eastAsia" w:ascii="仿宋" w:hAnsi="仿宋" w:eastAsia="仿宋" w:cs="Times New Roman"/>
                <w:color w:val="auto"/>
                <w:spacing w:val="-20"/>
                <w:kern w:val="2"/>
                <w:sz w:val="24"/>
                <w:szCs w:val="24"/>
                <w:lang w:eastAsia="zh-CN"/>
              </w:rPr>
              <w:t>风险警示股票、退市整理股票、北交所股票、股转优先股、创业板、新三板、</w:t>
            </w:r>
            <w:r>
              <w:rPr>
                <w:rFonts w:hint="eastAsia" w:ascii="仿宋" w:hAnsi="仿宋" w:eastAsia="仿宋" w:cs="Times New Roman"/>
                <w:color w:val="auto"/>
                <w:spacing w:val="-20"/>
                <w:kern w:val="2"/>
                <w:sz w:val="24"/>
                <w:szCs w:val="24"/>
                <w:lang w:val="en-US" w:eastAsia="zh-CN"/>
              </w:rPr>
              <w:t>北交所/股转定向可转债、摘牌证券、</w:t>
            </w:r>
            <w:r>
              <w:rPr>
                <w:rFonts w:hint="eastAsia" w:ascii="仿宋" w:hAnsi="仿宋" w:eastAsia="仿宋" w:cs="Times New Roman"/>
                <w:color w:val="auto"/>
                <w:spacing w:val="-20"/>
                <w:kern w:val="2"/>
                <w:sz w:val="24"/>
                <w:szCs w:val="24"/>
                <w:lang w:eastAsia="zh-CN"/>
              </w:rPr>
              <w:t>科创板、</w:t>
            </w:r>
            <w:r>
              <w:rPr>
                <w:rFonts w:hint="eastAsia" w:ascii="仿宋" w:hAnsi="仿宋" w:eastAsia="仿宋" w:cs="Times New Roman"/>
                <w:color w:val="auto"/>
                <w:spacing w:val="-20"/>
                <w:kern w:val="2"/>
                <w:sz w:val="24"/>
                <w:szCs w:val="24"/>
                <w:lang w:val="en-US" w:eastAsia="zh-CN"/>
              </w:rPr>
              <w:t>科创成长层、</w:t>
            </w:r>
            <w:r>
              <w:rPr>
                <w:rFonts w:hint="eastAsia" w:ascii="仿宋" w:hAnsi="仿宋" w:eastAsia="仿宋" w:cs="Times New Roman"/>
                <w:color w:val="auto"/>
                <w:spacing w:val="-20"/>
                <w:kern w:val="2"/>
                <w:sz w:val="24"/>
                <w:szCs w:val="24"/>
                <w:lang w:eastAsia="zh-CN"/>
              </w:rPr>
              <w:t>债券</w:t>
            </w:r>
            <w:r>
              <w:rPr>
                <w:rFonts w:hint="eastAsia" w:ascii="仿宋" w:hAnsi="仿宋" w:eastAsia="仿宋" w:cs="Times New Roman"/>
                <w:color w:val="auto"/>
                <w:spacing w:val="-20"/>
                <w:kern w:val="2"/>
                <w:sz w:val="24"/>
                <w:szCs w:val="24"/>
                <w:lang w:val="en-US" w:eastAsia="zh-CN"/>
              </w:rPr>
              <w:t>专业</w:t>
            </w:r>
            <w:r>
              <w:rPr>
                <w:rFonts w:hint="eastAsia" w:ascii="仿宋" w:hAnsi="仿宋" w:eastAsia="仿宋" w:cs="Times New Roman"/>
                <w:color w:val="auto"/>
                <w:spacing w:val="-20"/>
                <w:kern w:val="2"/>
                <w:sz w:val="24"/>
                <w:szCs w:val="24"/>
                <w:lang w:eastAsia="zh-CN"/>
              </w:rPr>
              <w:t>投资者权限开通、债券质押式正回购、定向可转债、</w:t>
            </w:r>
            <w:r>
              <w:rPr>
                <w:rFonts w:hint="eastAsia" w:ascii="仿宋" w:hAnsi="仿宋" w:eastAsia="仿宋" w:cs="Times New Roman"/>
                <w:color w:val="auto"/>
                <w:spacing w:val="-20"/>
                <w:kern w:val="2"/>
                <w:sz w:val="24"/>
                <w:szCs w:val="24"/>
                <w:lang w:val="en-US" w:eastAsia="zh-CN"/>
              </w:rPr>
              <w:t>深圳退市整理可转债、</w:t>
            </w:r>
            <w:r>
              <w:rPr>
                <w:rFonts w:hint="eastAsia" w:ascii="仿宋" w:hAnsi="仿宋" w:eastAsia="仿宋" w:cs="Times New Roman"/>
                <w:color w:val="auto"/>
                <w:spacing w:val="-20"/>
                <w:kern w:val="2"/>
                <w:sz w:val="24"/>
                <w:szCs w:val="24"/>
                <w:lang w:eastAsia="zh-CN"/>
              </w:rPr>
              <w:t>融资融券、约定式回购、股票期权二、三级交易权限、</w:t>
            </w:r>
            <w:r>
              <w:rPr>
                <w:rFonts w:hint="eastAsia" w:ascii="仿宋" w:hAnsi="仿宋" w:eastAsia="仿宋" w:cs="Times New Roman"/>
                <w:color w:val="auto"/>
                <w:spacing w:val="-20"/>
                <w:kern w:val="2"/>
                <w:sz w:val="24"/>
                <w:szCs w:val="24"/>
                <w:lang w:val="en-US" w:eastAsia="zh-CN"/>
              </w:rPr>
              <w:t>股票质押</w:t>
            </w:r>
          </w:p>
        </w:tc>
        <w:tc>
          <w:tcPr>
            <w:tcW w:w="1500" w:type="dxa"/>
            <w:vAlign w:val="center"/>
          </w:tcPr>
          <w:p>
            <w:pPr>
              <w:pStyle w:val="21"/>
              <w:spacing w:line="360" w:lineRule="auto"/>
              <w:ind w:firstLine="480"/>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rPr>
              <w:t>R4</w:t>
            </w:r>
          </w:p>
        </w:tc>
      </w:tr>
      <w:tr>
        <w:tblPrEx>
          <w:tblBorders>
            <w:top w:val="single" w:color="31849B" w:themeColor="accent5" w:themeShade="BF" w:sz="4" w:space="0"/>
            <w:left w:val="single" w:color="31849B" w:themeColor="accent5" w:themeShade="BF" w:sz="4" w:space="0"/>
            <w:bottom w:val="single" w:color="31849B" w:themeColor="accent5" w:themeShade="BF" w:sz="4" w:space="0"/>
            <w:right w:val="single" w:color="31849B" w:themeColor="accent5" w:themeShade="BF" w:sz="4" w:space="0"/>
            <w:insideH w:val="single" w:color="31849B" w:themeColor="accent5" w:themeShade="BF" w:sz="4" w:space="0"/>
            <w:insideV w:val="single" w:color="31849B" w:themeColor="accent5" w:themeShade="BF" w:sz="4" w:space="0"/>
          </w:tblBorders>
          <w:tblCellMar>
            <w:top w:w="0" w:type="dxa"/>
            <w:left w:w="108" w:type="dxa"/>
            <w:bottom w:w="0" w:type="dxa"/>
            <w:right w:w="108" w:type="dxa"/>
          </w:tblCellMar>
        </w:tblPrEx>
        <w:trPr>
          <w:trHeight w:val="381" w:hRule="atLeast"/>
        </w:trPr>
        <w:tc>
          <w:tcPr>
            <w:tcW w:w="8042" w:type="dxa"/>
          </w:tcPr>
          <w:p>
            <w:pPr>
              <w:pStyle w:val="21"/>
              <w:spacing w:line="360" w:lineRule="auto"/>
              <w:rPr>
                <w:rFonts w:hint="eastAsia" w:ascii="仿宋" w:hAnsi="仿宋" w:eastAsia="仿宋" w:cs="Times New Roman"/>
                <w:color w:val="auto"/>
                <w:spacing w:val="-20"/>
                <w:kern w:val="2"/>
                <w:sz w:val="24"/>
                <w:szCs w:val="24"/>
                <w:lang w:val="en-US" w:eastAsia="zh-CN"/>
              </w:rPr>
            </w:pPr>
            <w:r>
              <w:rPr>
                <w:rFonts w:hint="eastAsia" w:ascii="仿宋" w:hAnsi="仿宋" w:eastAsia="仿宋" w:cs="Times New Roman"/>
                <w:color w:val="auto"/>
                <w:spacing w:val="-20"/>
                <w:kern w:val="2"/>
                <w:sz w:val="24"/>
                <w:szCs w:val="24"/>
                <w:lang w:val="en-US" w:eastAsia="zh-CN"/>
              </w:rPr>
              <w:t>暂无</w:t>
            </w:r>
          </w:p>
        </w:tc>
        <w:tc>
          <w:tcPr>
            <w:tcW w:w="1500" w:type="dxa"/>
            <w:vAlign w:val="center"/>
          </w:tcPr>
          <w:p>
            <w:pPr>
              <w:pStyle w:val="21"/>
              <w:spacing w:line="360" w:lineRule="auto"/>
              <w:ind w:firstLine="480"/>
              <w:rPr>
                <w:rFonts w:ascii="仿宋" w:hAnsi="仿宋" w:eastAsia="仿宋" w:cs="Times New Roman"/>
                <w:color w:val="auto"/>
                <w:spacing w:val="-20"/>
                <w:kern w:val="2"/>
                <w:sz w:val="24"/>
                <w:szCs w:val="24"/>
              </w:rPr>
            </w:pPr>
            <w:r>
              <w:rPr>
                <w:rFonts w:hint="eastAsia" w:ascii="仿宋" w:hAnsi="仿宋" w:eastAsia="仿宋" w:cs="Times New Roman"/>
                <w:color w:val="auto"/>
                <w:spacing w:val="-20"/>
                <w:kern w:val="2"/>
                <w:sz w:val="24"/>
                <w:szCs w:val="24"/>
              </w:rPr>
              <w:t>R5</w:t>
            </w:r>
          </w:p>
        </w:tc>
      </w:tr>
    </w:tbl>
    <w:p>
      <w:pPr>
        <w:autoSpaceDE w:val="0"/>
        <w:autoSpaceDN w:val="0"/>
        <w:adjustRightInd w:val="0"/>
        <w:snapToGrid w:val="0"/>
        <w:spacing w:line="360" w:lineRule="auto"/>
        <w:ind w:firstLine="480" w:firstLineChars="200"/>
        <w:jc w:val="left"/>
        <w:rPr>
          <w:rFonts w:hint="eastAsia" w:ascii="仿宋" w:hAnsi="仿宋" w:eastAsia="仿宋" w:cs="宋体"/>
          <w:spacing w:val="-20"/>
          <w:kern w:val="0"/>
          <w:sz w:val="28"/>
          <w:szCs w:val="28"/>
          <w:lang w:eastAsia="zh-CN"/>
        </w:rPr>
      </w:pPr>
    </w:p>
    <w:p>
      <w:pPr>
        <w:autoSpaceDE w:val="0"/>
        <w:autoSpaceDN w:val="0"/>
        <w:adjustRightInd w:val="0"/>
        <w:snapToGrid w:val="0"/>
        <w:spacing w:line="360" w:lineRule="auto"/>
        <w:ind w:firstLine="480" w:firstLineChars="200"/>
        <w:jc w:val="left"/>
        <w:rPr>
          <w:rFonts w:ascii="仿宋" w:hAnsi="仿宋" w:eastAsia="仿宋" w:cs="宋体"/>
          <w:bCs/>
          <w:spacing w:val="-20"/>
          <w:kern w:val="0"/>
          <w:sz w:val="28"/>
          <w:szCs w:val="28"/>
        </w:rPr>
      </w:pPr>
      <w:r>
        <w:rPr>
          <w:rFonts w:hint="eastAsia" w:ascii="仿宋" w:hAnsi="仿宋" w:eastAsia="仿宋" w:cs="宋体"/>
          <w:bCs/>
          <w:spacing w:val="-20"/>
          <w:kern w:val="0"/>
          <w:sz w:val="28"/>
          <w:szCs w:val="28"/>
          <w:lang w:val="en-US" w:eastAsia="zh-CN"/>
        </w:rPr>
        <w:t>二、</w:t>
      </w:r>
      <w:r>
        <w:rPr>
          <w:rFonts w:hint="eastAsia" w:ascii="仿宋" w:hAnsi="仿宋" w:eastAsia="仿宋" w:cs="宋体"/>
          <w:bCs/>
          <w:spacing w:val="-20"/>
          <w:kern w:val="0"/>
          <w:sz w:val="28"/>
          <w:szCs w:val="28"/>
        </w:rPr>
        <w:t xml:space="preserve">金融服务存在下列因素的，应当审慎评估其风险等级： </w:t>
      </w:r>
    </w:p>
    <w:p>
      <w:pPr>
        <w:autoSpaceDE w:val="0"/>
        <w:autoSpaceDN w:val="0"/>
        <w:adjustRightInd w:val="0"/>
        <w:snapToGrid w:val="0"/>
        <w:spacing w:line="360" w:lineRule="auto"/>
        <w:ind w:firstLine="480" w:firstLineChars="200"/>
        <w:jc w:val="left"/>
        <w:rPr>
          <w:rFonts w:ascii="仿宋" w:hAnsi="仿宋" w:eastAsia="仿宋" w:cs="宋体"/>
          <w:bCs/>
          <w:spacing w:val="-20"/>
          <w:kern w:val="0"/>
          <w:sz w:val="28"/>
          <w:szCs w:val="28"/>
        </w:rPr>
      </w:pPr>
      <w:r>
        <w:rPr>
          <w:rFonts w:hint="eastAsia" w:ascii="仿宋" w:hAnsi="仿宋" w:eastAsia="仿宋" w:cs="宋体"/>
          <w:bCs/>
          <w:spacing w:val="-20"/>
          <w:kern w:val="0"/>
          <w:sz w:val="28"/>
          <w:szCs w:val="28"/>
        </w:rPr>
        <w:t xml:space="preserve">（一） 存在本金损失的可能性，因杠杆交易等因素容易导致本金大部分或者全部损失的服务； </w:t>
      </w:r>
    </w:p>
    <w:p>
      <w:pPr>
        <w:autoSpaceDE w:val="0"/>
        <w:autoSpaceDN w:val="0"/>
        <w:adjustRightInd w:val="0"/>
        <w:snapToGrid w:val="0"/>
        <w:spacing w:line="360" w:lineRule="auto"/>
        <w:ind w:firstLine="480" w:firstLineChars="200"/>
        <w:jc w:val="left"/>
        <w:rPr>
          <w:rFonts w:ascii="仿宋" w:hAnsi="仿宋" w:eastAsia="仿宋" w:cs="宋体"/>
          <w:bCs/>
          <w:spacing w:val="-20"/>
          <w:kern w:val="0"/>
          <w:sz w:val="28"/>
          <w:szCs w:val="28"/>
        </w:rPr>
      </w:pPr>
      <w:r>
        <w:rPr>
          <w:rFonts w:hint="eastAsia" w:ascii="仿宋" w:hAnsi="仿宋" w:eastAsia="仿宋" w:cs="宋体"/>
          <w:bCs/>
          <w:spacing w:val="-20"/>
          <w:kern w:val="0"/>
          <w:sz w:val="28"/>
          <w:szCs w:val="28"/>
        </w:rPr>
        <w:t xml:space="preserve">（二） 金融服务的流动变现能力，因无公开交易市场、参与投资者少等因素导致难以在短期内以合理价格顺利变现的金融服务； </w:t>
      </w:r>
    </w:p>
    <w:p>
      <w:pPr>
        <w:autoSpaceDE w:val="0"/>
        <w:autoSpaceDN w:val="0"/>
        <w:adjustRightInd w:val="0"/>
        <w:snapToGrid w:val="0"/>
        <w:spacing w:line="360" w:lineRule="auto"/>
        <w:ind w:firstLine="480" w:firstLineChars="200"/>
        <w:jc w:val="left"/>
        <w:rPr>
          <w:rFonts w:ascii="仿宋" w:hAnsi="仿宋" w:eastAsia="仿宋" w:cs="宋体"/>
          <w:bCs/>
          <w:spacing w:val="-20"/>
          <w:kern w:val="0"/>
          <w:sz w:val="28"/>
          <w:szCs w:val="28"/>
        </w:rPr>
      </w:pPr>
      <w:r>
        <w:rPr>
          <w:rFonts w:hint="eastAsia" w:ascii="仿宋" w:hAnsi="仿宋" w:eastAsia="仿宋" w:cs="宋体"/>
          <w:bCs/>
          <w:spacing w:val="-20"/>
          <w:kern w:val="0"/>
          <w:sz w:val="28"/>
          <w:szCs w:val="28"/>
        </w:rPr>
        <w:t xml:space="preserve">（三） 金融服务的可理解性，因结构复杂、不易估值等因素导致普通人难以理解其条款和特征的金融服务； </w:t>
      </w:r>
    </w:p>
    <w:p>
      <w:pPr>
        <w:autoSpaceDE w:val="0"/>
        <w:autoSpaceDN w:val="0"/>
        <w:adjustRightInd w:val="0"/>
        <w:snapToGrid w:val="0"/>
        <w:spacing w:line="360" w:lineRule="auto"/>
        <w:ind w:firstLine="480" w:firstLineChars="200"/>
        <w:jc w:val="left"/>
        <w:rPr>
          <w:rFonts w:ascii="仿宋" w:hAnsi="仿宋" w:eastAsia="仿宋" w:cs="宋体"/>
          <w:bCs/>
          <w:spacing w:val="-20"/>
          <w:kern w:val="0"/>
          <w:sz w:val="28"/>
          <w:szCs w:val="28"/>
        </w:rPr>
      </w:pPr>
      <w:r>
        <w:rPr>
          <w:rFonts w:hint="eastAsia" w:ascii="仿宋" w:hAnsi="仿宋" w:eastAsia="仿宋" w:cs="宋体"/>
          <w:bCs/>
          <w:spacing w:val="-20"/>
          <w:kern w:val="0"/>
          <w:sz w:val="28"/>
          <w:szCs w:val="28"/>
        </w:rPr>
        <w:t xml:space="preserve">（四） 金融服务的募集方式，涉及面广、影响力大的公募业务相关服务； </w:t>
      </w:r>
    </w:p>
    <w:p>
      <w:pPr>
        <w:autoSpaceDE w:val="0"/>
        <w:autoSpaceDN w:val="0"/>
        <w:adjustRightInd w:val="0"/>
        <w:snapToGrid w:val="0"/>
        <w:spacing w:line="360" w:lineRule="auto"/>
        <w:ind w:firstLine="480" w:firstLineChars="200"/>
        <w:jc w:val="left"/>
        <w:rPr>
          <w:rFonts w:ascii="仿宋" w:hAnsi="仿宋" w:eastAsia="仿宋" w:cs="宋体"/>
          <w:bCs/>
          <w:spacing w:val="-20"/>
          <w:kern w:val="0"/>
          <w:sz w:val="28"/>
          <w:szCs w:val="28"/>
        </w:rPr>
      </w:pPr>
      <w:r>
        <w:rPr>
          <w:rFonts w:hint="eastAsia" w:ascii="仿宋" w:hAnsi="仿宋" w:eastAsia="仿宋" w:cs="宋体"/>
          <w:bCs/>
          <w:spacing w:val="-20"/>
          <w:kern w:val="0"/>
          <w:sz w:val="28"/>
          <w:szCs w:val="28"/>
        </w:rPr>
        <w:t xml:space="preserve">（五） 金融服务的跨境因素，存在市场差异、适用境外法律等情形的跨境发行或者交易的金融服务； </w:t>
      </w:r>
    </w:p>
    <w:p>
      <w:pPr>
        <w:autoSpaceDE w:val="0"/>
        <w:autoSpaceDN w:val="0"/>
        <w:adjustRightInd w:val="0"/>
        <w:snapToGrid w:val="0"/>
        <w:spacing w:line="360" w:lineRule="auto"/>
        <w:ind w:firstLine="480" w:firstLineChars="200"/>
        <w:jc w:val="left"/>
        <w:rPr>
          <w:rFonts w:ascii="仿宋" w:hAnsi="仿宋" w:eastAsia="仿宋" w:cs="宋体"/>
          <w:bCs/>
          <w:spacing w:val="-20"/>
          <w:kern w:val="0"/>
          <w:sz w:val="28"/>
          <w:szCs w:val="28"/>
        </w:rPr>
      </w:pPr>
      <w:r>
        <w:rPr>
          <w:rFonts w:hint="eastAsia" w:ascii="仿宋" w:hAnsi="仿宋" w:eastAsia="仿宋" w:cs="宋体"/>
          <w:bCs/>
          <w:spacing w:val="-20"/>
          <w:kern w:val="0"/>
          <w:sz w:val="28"/>
          <w:szCs w:val="28"/>
        </w:rPr>
        <w:t xml:space="preserve">（六） 依据自律组织规定认定的 R5 级（高风险）金融服务； </w:t>
      </w:r>
    </w:p>
    <w:p>
      <w:pPr>
        <w:autoSpaceDE w:val="0"/>
        <w:autoSpaceDN w:val="0"/>
        <w:adjustRightInd w:val="0"/>
        <w:snapToGrid w:val="0"/>
        <w:spacing w:line="360" w:lineRule="auto"/>
        <w:ind w:firstLine="480" w:firstLineChars="200"/>
        <w:jc w:val="left"/>
        <w:rPr>
          <w:rFonts w:ascii="仿宋" w:hAnsi="仿宋" w:eastAsia="仿宋" w:cs="宋体"/>
          <w:spacing w:val="-20"/>
          <w:kern w:val="0"/>
          <w:sz w:val="28"/>
          <w:szCs w:val="28"/>
        </w:rPr>
      </w:pPr>
      <w:r>
        <w:rPr>
          <w:rFonts w:hint="eastAsia" w:ascii="仿宋" w:hAnsi="仿宋" w:eastAsia="仿宋" w:cs="宋体"/>
          <w:bCs/>
          <w:spacing w:val="-20"/>
          <w:kern w:val="0"/>
          <w:sz w:val="28"/>
          <w:szCs w:val="28"/>
        </w:rPr>
        <w:t xml:space="preserve">（七） 其他有可能构成投资风险的因素。 </w:t>
      </w:r>
    </w:p>
    <w:p>
      <w:pPr>
        <w:autoSpaceDE w:val="0"/>
        <w:autoSpaceDN w:val="0"/>
        <w:adjustRightInd w:val="0"/>
        <w:snapToGrid w:val="0"/>
        <w:spacing w:line="360" w:lineRule="auto"/>
        <w:ind w:firstLine="420"/>
        <w:jc w:val="left"/>
        <w:rPr>
          <w:rFonts w:ascii="仿宋" w:hAnsi="仿宋" w:eastAsia="仿宋" w:cs="宋体"/>
          <w:bCs/>
          <w:spacing w:val="-20"/>
          <w:kern w:val="0"/>
          <w:sz w:val="28"/>
          <w:szCs w:val="28"/>
        </w:rPr>
      </w:pPr>
      <w:r>
        <w:rPr>
          <w:rFonts w:hint="eastAsia" w:ascii="仿宋" w:hAnsi="仿宋" w:eastAsia="仿宋"/>
          <w:spacing w:val="-20"/>
          <w:sz w:val="28"/>
          <w:szCs w:val="28"/>
          <w:lang w:val="en-US" w:eastAsia="zh-CN"/>
        </w:rPr>
        <w:t>在上述基础上，零售经纪板块相关业务主管部门对金融服务业务每年定期更新一次风险评级结果</w:t>
      </w:r>
      <w:r>
        <w:rPr>
          <w:rFonts w:hint="eastAsia" w:ascii="仿宋" w:hAnsi="仿宋" w:eastAsia="仿宋" w:cs="宋体"/>
          <w:bCs/>
          <w:spacing w:val="-20"/>
          <w:kern w:val="0"/>
          <w:sz w:val="28"/>
          <w:szCs w:val="28"/>
        </w:rPr>
        <w:t>。如遇相关金融服务业务政策调整或监管要求变化，可临时调整风险评级。</w:t>
      </w:r>
    </w:p>
    <w:p>
      <w:pPr>
        <w:autoSpaceDE w:val="0"/>
        <w:autoSpaceDN w:val="0"/>
        <w:adjustRightInd w:val="0"/>
        <w:snapToGrid w:val="0"/>
        <w:spacing w:line="360" w:lineRule="auto"/>
        <w:ind w:firstLine="420" w:firstLineChars="0"/>
        <w:jc w:val="left"/>
        <w:rPr>
          <w:rFonts w:ascii="仿宋" w:hAnsi="仿宋" w:eastAsia="仿宋" w:cs="宋体"/>
          <w:spacing w:val="-20"/>
          <w:kern w:val="0"/>
          <w:sz w:val="28"/>
          <w:szCs w:val="28"/>
        </w:rPr>
      </w:pPr>
      <w:r>
        <w:rPr>
          <w:rFonts w:hint="eastAsia" w:ascii="仿宋" w:hAnsi="仿宋" w:eastAsia="仿宋" w:cs="宋体"/>
          <w:spacing w:val="-20"/>
          <w:kern w:val="0"/>
          <w:sz w:val="28"/>
          <w:szCs w:val="28"/>
          <w:lang w:val="en-US" w:eastAsia="zh-CN"/>
        </w:rPr>
        <w:t>三、</w:t>
      </w:r>
      <w:r>
        <w:rPr>
          <w:rFonts w:hint="eastAsia" w:ascii="仿宋" w:hAnsi="仿宋" w:eastAsia="仿宋" w:cs="宋体"/>
          <w:spacing w:val="-20"/>
          <w:kern w:val="0"/>
          <w:sz w:val="28"/>
          <w:szCs w:val="28"/>
        </w:rPr>
        <w:t>本</w:t>
      </w:r>
      <w:r>
        <w:rPr>
          <w:rFonts w:hint="eastAsia" w:ascii="仿宋" w:hAnsi="仿宋" w:eastAsia="仿宋" w:cs="宋体"/>
          <w:spacing w:val="-20"/>
          <w:kern w:val="0"/>
          <w:sz w:val="28"/>
          <w:szCs w:val="28"/>
          <w:lang w:val="en-US" w:eastAsia="zh-CN"/>
        </w:rPr>
        <w:t>评级细则</w:t>
      </w:r>
      <w:r>
        <w:rPr>
          <w:rFonts w:hint="eastAsia" w:ascii="仿宋" w:hAnsi="仿宋" w:eastAsia="仿宋" w:cs="宋体"/>
          <w:spacing w:val="-20"/>
          <w:kern w:val="0"/>
          <w:sz w:val="28"/>
          <w:szCs w:val="28"/>
        </w:rPr>
        <w:t>由</w:t>
      </w:r>
      <w:r>
        <w:rPr>
          <w:rFonts w:hint="eastAsia" w:ascii="仿宋" w:hAnsi="仿宋" w:eastAsia="仿宋" w:cs="宋体"/>
          <w:spacing w:val="-20"/>
          <w:kern w:val="0"/>
          <w:sz w:val="28"/>
          <w:szCs w:val="28"/>
          <w:lang w:val="en-US" w:eastAsia="zh-CN"/>
        </w:rPr>
        <w:t>中银国际证券股份有限公司负责</w:t>
      </w:r>
      <w:r>
        <w:rPr>
          <w:rFonts w:hint="eastAsia" w:ascii="仿宋" w:hAnsi="仿宋" w:eastAsia="仿宋" w:cs="宋体"/>
          <w:spacing w:val="-20"/>
          <w:kern w:val="0"/>
          <w:sz w:val="28"/>
          <w:szCs w:val="28"/>
        </w:rPr>
        <w:t>解释。</w:t>
      </w:r>
    </w:p>
    <w:p>
      <w:pPr>
        <w:autoSpaceDE w:val="0"/>
        <w:autoSpaceDN w:val="0"/>
        <w:adjustRightInd w:val="0"/>
        <w:snapToGrid w:val="0"/>
        <w:spacing w:line="360" w:lineRule="auto"/>
        <w:ind w:firstLine="511" w:firstLineChars="213"/>
        <w:rPr>
          <w:rFonts w:hint="eastAsia" w:ascii="仿宋" w:hAnsi="仿宋" w:eastAsia="仿宋"/>
          <w:spacing w:val="-20"/>
          <w:sz w:val="28"/>
          <w:szCs w:val="28"/>
        </w:rPr>
      </w:pPr>
    </w:p>
    <w:p>
      <w:pPr>
        <w:pStyle w:val="5"/>
        <w:snapToGrid w:val="0"/>
        <w:spacing w:line="360" w:lineRule="auto"/>
        <w:rPr>
          <w:rFonts w:ascii="仿宋_GB2312" w:eastAsia="仿宋_GB2312"/>
          <w:spacing w:val="-20"/>
          <w:szCs w:val="24"/>
        </w:rPr>
      </w:pPr>
      <w:bookmarkStart w:id="0" w:name="_GoBack"/>
      <w:bookmarkEnd w:id="0"/>
    </w:p>
    <w:sectPr>
      <w:footerReference r:id="rId3" w:type="default"/>
      <w:footerReference r:id="rId4"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6</w:t>
    </w:r>
    <w:r>
      <w:rPr>
        <w:rStyle w:val="15"/>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FB4FE"/>
    <w:multiLevelType w:val="singleLevel"/>
    <w:tmpl w:val="4AEFB4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E7"/>
    <w:rsid w:val="00000B3B"/>
    <w:rsid w:val="00010059"/>
    <w:rsid w:val="00013A02"/>
    <w:rsid w:val="000219C2"/>
    <w:rsid w:val="000243B0"/>
    <w:rsid w:val="00025E23"/>
    <w:rsid w:val="00031EA6"/>
    <w:rsid w:val="00035727"/>
    <w:rsid w:val="00036AF6"/>
    <w:rsid w:val="000377BD"/>
    <w:rsid w:val="00040840"/>
    <w:rsid w:val="00045B35"/>
    <w:rsid w:val="000471BE"/>
    <w:rsid w:val="00051670"/>
    <w:rsid w:val="00066D09"/>
    <w:rsid w:val="0007022B"/>
    <w:rsid w:val="00070482"/>
    <w:rsid w:val="00076388"/>
    <w:rsid w:val="0007779F"/>
    <w:rsid w:val="00080F84"/>
    <w:rsid w:val="00083E82"/>
    <w:rsid w:val="00084027"/>
    <w:rsid w:val="000840D1"/>
    <w:rsid w:val="000851E9"/>
    <w:rsid w:val="00095DE1"/>
    <w:rsid w:val="00096606"/>
    <w:rsid w:val="00096658"/>
    <w:rsid w:val="000B1442"/>
    <w:rsid w:val="000B1BC7"/>
    <w:rsid w:val="000B3E6A"/>
    <w:rsid w:val="000B5FF5"/>
    <w:rsid w:val="000C117B"/>
    <w:rsid w:val="000C75FA"/>
    <w:rsid w:val="000D0339"/>
    <w:rsid w:val="000D4F20"/>
    <w:rsid w:val="000D60BF"/>
    <w:rsid w:val="000E4B18"/>
    <w:rsid w:val="000F370E"/>
    <w:rsid w:val="000F3E12"/>
    <w:rsid w:val="000F64B6"/>
    <w:rsid w:val="00101046"/>
    <w:rsid w:val="00101C6B"/>
    <w:rsid w:val="001021C0"/>
    <w:rsid w:val="00104528"/>
    <w:rsid w:val="00110849"/>
    <w:rsid w:val="0012023E"/>
    <w:rsid w:val="00123B08"/>
    <w:rsid w:val="00123C22"/>
    <w:rsid w:val="00125DB9"/>
    <w:rsid w:val="00130AAF"/>
    <w:rsid w:val="001339D2"/>
    <w:rsid w:val="00141AC3"/>
    <w:rsid w:val="001453D8"/>
    <w:rsid w:val="00146617"/>
    <w:rsid w:val="0014688D"/>
    <w:rsid w:val="00161CCB"/>
    <w:rsid w:val="001748E0"/>
    <w:rsid w:val="00174B8B"/>
    <w:rsid w:val="001800C6"/>
    <w:rsid w:val="00182E6B"/>
    <w:rsid w:val="001831DA"/>
    <w:rsid w:val="001877DA"/>
    <w:rsid w:val="00187F12"/>
    <w:rsid w:val="00191178"/>
    <w:rsid w:val="00195F28"/>
    <w:rsid w:val="00197C66"/>
    <w:rsid w:val="00197F33"/>
    <w:rsid w:val="001A3148"/>
    <w:rsid w:val="001A3C56"/>
    <w:rsid w:val="001A763B"/>
    <w:rsid w:val="001B08C6"/>
    <w:rsid w:val="001B0DA0"/>
    <w:rsid w:val="001B1795"/>
    <w:rsid w:val="001C0D9E"/>
    <w:rsid w:val="001C3550"/>
    <w:rsid w:val="001C6DED"/>
    <w:rsid w:val="001C7815"/>
    <w:rsid w:val="001D43BF"/>
    <w:rsid w:val="001D54AE"/>
    <w:rsid w:val="001D57A2"/>
    <w:rsid w:val="001E02B2"/>
    <w:rsid w:val="001F5241"/>
    <w:rsid w:val="0020184A"/>
    <w:rsid w:val="0020220A"/>
    <w:rsid w:val="00204D84"/>
    <w:rsid w:val="0020569E"/>
    <w:rsid w:val="002142BF"/>
    <w:rsid w:val="0021455E"/>
    <w:rsid w:val="002253AD"/>
    <w:rsid w:val="00226AB6"/>
    <w:rsid w:val="002274D9"/>
    <w:rsid w:val="0023219E"/>
    <w:rsid w:val="00232206"/>
    <w:rsid w:val="002405B2"/>
    <w:rsid w:val="00244966"/>
    <w:rsid w:val="002452E7"/>
    <w:rsid w:val="00245FB3"/>
    <w:rsid w:val="00247A39"/>
    <w:rsid w:val="00254DEB"/>
    <w:rsid w:val="00255E8D"/>
    <w:rsid w:val="002569BB"/>
    <w:rsid w:val="002578C0"/>
    <w:rsid w:val="002636D5"/>
    <w:rsid w:val="00264912"/>
    <w:rsid w:val="00274693"/>
    <w:rsid w:val="00275FE6"/>
    <w:rsid w:val="00280E98"/>
    <w:rsid w:val="00284FC9"/>
    <w:rsid w:val="0028505D"/>
    <w:rsid w:val="00286ADB"/>
    <w:rsid w:val="002926CE"/>
    <w:rsid w:val="002953C3"/>
    <w:rsid w:val="00297141"/>
    <w:rsid w:val="002A0203"/>
    <w:rsid w:val="002A10E5"/>
    <w:rsid w:val="002A4976"/>
    <w:rsid w:val="002B06F8"/>
    <w:rsid w:val="002B3640"/>
    <w:rsid w:val="002B4F78"/>
    <w:rsid w:val="002B6974"/>
    <w:rsid w:val="002C4A16"/>
    <w:rsid w:val="002C66B9"/>
    <w:rsid w:val="002C6971"/>
    <w:rsid w:val="002D0F5C"/>
    <w:rsid w:val="002D2B95"/>
    <w:rsid w:val="002D5312"/>
    <w:rsid w:val="002D7F1D"/>
    <w:rsid w:val="002E519C"/>
    <w:rsid w:val="002E6FC6"/>
    <w:rsid w:val="002E7738"/>
    <w:rsid w:val="002F048F"/>
    <w:rsid w:val="002F0E45"/>
    <w:rsid w:val="002F225E"/>
    <w:rsid w:val="002F610C"/>
    <w:rsid w:val="002F633B"/>
    <w:rsid w:val="00300A3B"/>
    <w:rsid w:val="003023B0"/>
    <w:rsid w:val="0030326B"/>
    <w:rsid w:val="00304A00"/>
    <w:rsid w:val="00306B0D"/>
    <w:rsid w:val="003117E1"/>
    <w:rsid w:val="00325587"/>
    <w:rsid w:val="00326400"/>
    <w:rsid w:val="00333032"/>
    <w:rsid w:val="00333080"/>
    <w:rsid w:val="00334AE9"/>
    <w:rsid w:val="0033548C"/>
    <w:rsid w:val="00340AAB"/>
    <w:rsid w:val="00351A86"/>
    <w:rsid w:val="00351D25"/>
    <w:rsid w:val="00355006"/>
    <w:rsid w:val="00363656"/>
    <w:rsid w:val="0036673C"/>
    <w:rsid w:val="00371DBA"/>
    <w:rsid w:val="00373538"/>
    <w:rsid w:val="00375CBA"/>
    <w:rsid w:val="003830EF"/>
    <w:rsid w:val="00393665"/>
    <w:rsid w:val="00394F3E"/>
    <w:rsid w:val="00397B10"/>
    <w:rsid w:val="003A00B7"/>
    <w:rsid w:val="003A00F0"/>
    <w:rsid w:val="003B3BAF"/>
    <w:rsid w:val="003B6C31"/>
    <w:rsid w:val="003D00C2"/>
    <w:rsid w:val="003E1681"/>
    <w:rsid w:val="003E6324"/>
    <w:rsid w:val="003F4F4B"/>
    <w:rsid w:val="003F6D54"/>
    <w:rsid w:val="004025E4"/>
    <w:rsid w:val="0040449C"/>
    <w:rsid w:val="00412F25"/>
    <w:rsid w:val="0041309B"/>
    <w:rsid w:val="004134F4"/>
    <w:rsid w:val="004155BF"/>
    <w:rsid w:val="00416DE2"/>
    <w:rsid w:val="00422760"/>
    <w:rsid w:val="00422C0B"/>
    <w:rsid w:val="00424D80"/>
    <w:rsid w:val="004265E3"/>
    <w:rsid w:val="00426C47"/>
    <w:rsid w:val="00436320"/>
    <w:rsid w:val="00437248"/>
    <w:rsid w:val="00443A14"/>
    <w:rsid w:val="00446B71"/>
    <w:rsid w:val="004517E4"/>
    <w:rsid w:val="00454738"/>
    <w:rsid w:val="00454A65"/>
    <w:rsid w:val="0045561C"/>
    <w:rsid w:val="00463B25"/>
    <w:rsid w:val="0046544B"/>
    <w:rsid w:val="00480819"/>
    <w:rsid w:val="00481E31"/>
    <w:rsid w:val="00495004"/>
    <w:rsid w:val="00495573"/>
    <w:rsid w:val="00496D81"/>
    <w:rsid w:val="00497FBE"/>
    <w:rsid w:val="004A416E"/>
    <w:rsid w:val="004A5529"/>
    <w:rsid w:val="004B4203"/>
    <w:rsid w:val="004B5B35"/>
    <w:rsid w:val="004C2ABE"/>
    <w:rsid w:val="004C4094"/>
    <w:rsid w:val="004D0DCD"/>
    <w:rsid w:val="004D2940"/>
    <w:rsid w:val="004E0AF5"/>
    <w:rsid w:val="004E23D1"/>
    <w:rsid w:val="004F0E1F"/>
    <w:rsid w:val="004F7FA1"/>
    <w:rsid w:val="00500475"/>
    <w:rsid w:val="00502062"/>
    <w:rsid w:val="005025C3"/>
    <w:rsid w:val="00505614"/>
    <w:rsid w:val="005076DE"/>
    <w:rsid w:val="00514AE9"/>
    <w:rsid w:val="00516C4E"/>
    <w:rsid w:val="00517510"/>
    <w:rsid w:val="00522C52"/>
    <w:rsid w:val="00522F26"/>
    <w:rsid w:val="0052475B"/>
    <w:rsid w:val="0052577B"/>
    <w:rsid w:val="00526B20"/>
    <w:rsid w:val="0052764B"/>
    <w:rsid w:val="0053211D"/>
    <w:rsid w:val="00540584"/>
    <w:rsid w:val="005409AA"/>
    <w:rsid w:val="00551D74"/>
    <w:rsid w:val="00556449"/>
    <w:rsid w:val="00566165"/>
    <w:rsid w:val="00571378"/>
    <w:rsid w:val="0057185D"/>
    <w:rsid w:val="00574FC0"/>
    <w:rsid w:val="005804E6"/>
    <w:rsid w:val="005805DC"/>
    <w:rsid w:val="00581101"/>
    <w:rsid w:val="00582415"/>
    <w:rsid w:val="0058751C"/>
    <w:rsid w:val="00587E3D"/>
    <w:rsid w:val="005917AB"/>
    <w:rsid w:val="005950AB"/>
    <w:rsid w:val="00596AB9"/>
    <w:rsid w:val="005A03F2"/>
    <w:rsid w:val="005A452C"/>
    <w:rsid w:val="005B08FA"/>
    <w:rsid w:val="005B3406"/>
    <w:rsid w:val="005C1DA3"/>
    <w:rsid w:val="005C2E87"/>
    <w:rsid w:val="005D7962"/>
    <w:rsid w:val="005E3787"/>
    <w:rsid w:val="005E6108"/>
    <w:rsid w:val="005E626F"/>
    <w:rsid w:val="005E7D7A"/>
    <w:rsid w:val="005F5006"/>
    <w:rsid w:val="005F72F3"/>
    <w:rsid w:val="005F7411"/>
    <w:rsid w:val="00614720"/>
    <w:rsid w:val="00614A7E"/>
    <w:rsid w:val="00620F63"/>
    <w:rsid w:val="006254CB"/>
    <w:rsid w:val="00626146"/>
    <w:rsid w:val="006269B9"/>
    <w:rsid w:val="00630E87"/>
    <w:rsid w:val="00631C53"/>
    <w:rsid w:val="00641A97"/>
    <w:rsid w:val="0064333C"/>
    <w:rsid w:val="006474E7"/>
    <w:rsid w:val="0064784E"/>
    <w:rsid w:val="006509B3"/>
    <w:rsid w:val="0065444B"/>
    <w:rsid w:val="00654A8A"/>
    <w:rsid w:val="006664FE"/>
    <w:rsid w:val="006713CE"/>
    <w:rsid w:val="00672AE9"/>
    <w:rsid w:val="00673338"/>
    <w:rsid w:val="00675795"/>
    <w:rsid w:val="006760D9"/>
    <w:rsid w:val="00680199"/>
    <w:rsid w:val="00692D5F"/>
    <w:rsid w:val="006A7BE2"/>
    <w:rsid w:val="006A7E94"/>
    <w:rsid w:val="006B193D"/>
    <w:rsid w:val="006B48B9"/>
    <w:rsid w:val="006B4C5B"/>
    <w:rsid w:val="006B525F"/>
    <w:rsid w:val="006B7087"/>
    <w:rsid w:val="006E0CAA"/>
    <w:rsid w:val="006E72B6"/>
    <w:rsid w:val="006F2D6C"/>
    <w:rsid w:val="00700283"/>
    <w:rsid w:val="00705042"/>
    <w:rsid w:val="0070750C"/>
    <w:rsid w:val="007101D2"/>
    <w:rsid w:val="00714555"/>
    <w:rsid w:val="00716E5E"/>
    <w:rsid w:val="00733230"/>
    <w:rsid w:val="00741536"/>
    <w:rsid w:val="007627F4"/>
    <w:rsid w:val="00766ACA"/>
    <w:rsid w:val="00767DB5"/>
    <w:rsid w:val="00773EBF"/>
    <w:rsid w:val="007770B4"/>
    <w:rsid w:val="00777973"/>
    <w:rsid w:val="007831D2"/>
    <w:rsid w:val="00791ACA"/>
    <w:rsid w:val="00796F73"/>
    <w:rsid w:val="007972D7"/>
    <w:rsid w:val="007A321F"/>
    <w:rsid w:val="007A3640"/>
    <w:rsid w:val="007A614C"/>
    <w:rsid w:val="007B0607"/>
    <w:rsid w:val="007B63E8"/>
    <w:rsid w:val="007C3E29"/>
    <w:rsid w:val="007C435B"/>
    <w:rsid w:val="007D082A"/>
    <w:rsid w:val="007D0A37"/>
    <w:rsid w:val="007D4553"/>
    <w:rsid w:val="007E1DDE"/>
    <w:rsid w:val="007E7DCA"/>
    <w:rsid w:val="007F1B74"/>
    <w:rsid w:val="007F5176"/>
    <w:rsid w:val="007F5793"/>
    <w:rsid w:val="007F61CA"/>
    <w:rsid w:val="007F6AF7"/>
    <w:rsid w:val="008105E4"/>
    <w:rsid w:val="00814635"/>
    <w:rsid w:val="00815148"/>
    <w:rsid w:val="0081540B"/>
    <w:rsid w:val="00816DE0"/>
    <w:rsid w:val="0082064F"/>
    <w:rsid w:val="008229CC"/>
    <w:rsid w:val="00822D13"/>
    <w:rsid w:val="008242CD"/>
    <w:rsid w:val="0082510B"/>
    <w:rsid w:val="0083009D"/>
    <w:rsid w:val="00830473"/>
    <w:rsid w:val="00835373"/>
    <w:rsid w:val="008354E5"/>
    <w:rsid w:val="00836157"/>
    <w:rsid w:val="00841C83"/>
    <w:rsid w:val="008536C3"/>
    <w:rsid w:val="0086179C"/>
    <w:rsid w:val="008745DC"/>
    <w:rsid w:val="008878EC"/>
    <w:rsid w:val="0089679D"/>
    <w:rsid w:val="008A05BA"/>
    <w:rsid w:val="008A2C04"/>
    <w:rsid w:val="008A58E8"/>
    <w:rsid w:val="008A6634"/>
    <w:rsid w:val="008D3EE9"/>
    <w:rsid w:val="008D67BA"/>
    <w:rsid w:val="008E3BA8"/>
    <w:rsid w:val="008F67AB"/>
    <w:rsid w:val="009040FC"/>
    <w:rsid w:val="00906D8D"/>
    <w:rsid w:val="00911D6B"/>
    <w:rsid w:val="0091449B"/>
    <w:rsid w:val="00916230"/>
    <w:rsid w:val="00924F23"/>
    <w:rsid w:val="0092688B"/>
    <w:rsid w:val="009271E4"/>
    <w:rsid w:val="00940998"/>
    <w:rsid w:val="00943B61"/>
    <w:rsid w:val="00944825"/>
    <w:rsid w:val="009458BC"/>
    <w:rsid w:val="00953BE2"/>
    <w:rsid w:val="00957EB0"/>
    <w:rsid w:val="00964756"/>
    <w:rsid w:val="00976621"/>
    <w:rsid w:val="00981C7B"/>
    <w:rsid w:val="00986217"/>
    <w:rsid w:val="0099239C"/>
    <w:rsid w:val="009A067E"/>
    <w:rsid w:val="009A1CFF"/>
    <w:rsid w:val="009B3650"/>
    <w:rsid w:val="009D52C6"/>
    <w:rsid w:val="009D742D"/>
    <w:rsid w:val="009E13DF"/>
    <w:rsid w:val="009E7996"/>
    <w:rsid w:val="009F0A21"/>
    <w:rsid w:val="009F3CE1"/>
    <w:rsid w:val="009F4122"/>
    <w:rsid w:val="009F4635"/>
    <w:rsid w:val="00A010DD"/>
    <w:rsid w:val="00A02BDD"/>
    <w:rsid w:val="00A05421"/>
    <w:rsid w:val="00A11658"/>
    <w:rsid w:val="00A15A90"/>
    <w:rsid w:val="00A21423"/>
    <w:rsid w:val="00A32941"/>
    <w:rsid w:val="00A32B0B"/>
    <w:rsid w:val="00A413F6"/>
    <w:rsid w:val="00A42CCD"/>
    <w:rsid w:val="00A60839"/>
    <w:rsid w:val="00A6342E"/>
    <w:rsid w:val="00A65AFE"/>
    <w:rsid w:val="00A66F37"/>
    <w:rsid w:val="00A773E4"/>
    <w:rsid w:val="00A8298E"/>
    <w:rsid w:val="00A91664"/>
    <w:rsid w:val="00A91C8B"/>
    <w:rsid w:val="00A9254A"/>
    <w:rsid w:val="00A96FC2"/>
    <w:rsid w:val="00AA3DD9"/>
    <w:rsid w:val="00AA77DB"/>
    <w:rsid w:val="00AB4333"/>
    <w:rsid w:val="00AC427B"/>
    <w:rsid w:val="00AC448A"/>
    <w:rsid w:val="00AD093D"/>
    <w:rsid w:val="00AD36C9"/>
    <w:rsid w:val="00AD61BC"/>
    <w:rsid w:val="00AE0D9B"/>
    <w:rsid w:val="00AF186F"/>
    <w:rsid w:val="00AF76ED"/>
    <w:rsid w:val="00B028E5"/>
    <w:rsid w:val="00B04B1F"/>
    <w:rsid w:val="00B05365"/>
    <w:rsid w:val="00B06D73"/>
    <w:rsid w:val="00B12B90"/>
    <w:rsid w:val="00B12DAC"/>
    <w:rsid w:val="00B20CDC"/>
    <w:rsid w:val="00B25AE8"/>
    <w:rsid w:val="00B27102"/>
    <w:rsid w:val="00B328A4"/>
    <w:rsid w:val="00B330F8"/>
    <w:rsid w:val="00B36820"/>
    <w:rsid w:val="00B4013A"/>
    <w:rsid w:val="00B41272"/>
    <w:rsid w:val="00B41911"/>
    <w:rsid w:val="00B4202E"/>
    <w:rsid w:val="00B43782"/>
    <w:rsid w:val="00B441DA"/>
    <w:rsid w:val="00B44AEA"/>
    <w:rsid w:val="00B4706B"/>
    <w:rsid w:val="00B520C0"/>
    <w:rsid w:val="00B5419E"/>
    <w:rsid w:val="00B5593C"/>
    <w:rsid w:val="00B669BD"/>
    <w:rsid w:val="00B73116"/>
    <w:rsid w:val="00B73D9A"/>
    <w:rsid w:val="00B84C90"/>
    <w:rsid w:val="00B86589"/>
    <w:rsid w:val="00B9075C"/>
    <w:rsid w:val="00B90D5A"/>
    <w:rsid w:val="00B92862"/>
    <w:rsid w:val="00B94B8F"/>
    <w:rsid w:val="00B94F26"/>
    <w:rsid w:val="00B9513C"/>
    <w:rsid w:val="00B97C62"/>
    <w:rsid w:val="00BA4AB4"/>
    <w:rsid w:val="00BA67DC"/>
    <w:rsid w:val="00BE3EF4"/>
    <w:rsid w:val="00BE6604"/>
    <w:rsid w:val="00BE6DF6"/>
    <w:rsid w:val="00BE7A3E"/>
    <w:rsid w:val="00BF143F"/>
    <w:rsid w:val="00BF688E"/>
    <w:rsid w:val="00C0673C"/>
    <w:rsid w:val="00C07557"/>
    <w:rsid w:val="00C147A3"/>
    <w:rsid w:val="00C1672F"/>
    <w:rsid w:val="00C17408"/>
    <w:rsid w:val="00C17A7F"/>
    <w:rsid w:val="00C17DF9"/>
    <w:rsid w:val="00C26A08"/>
    <w:rsid w:val="00C26C21"/>
    <w:rsid w:val="00C30C76"/>
    <w:rsid w:val="00C32F32"/>
    <w:rsid w:val="00C32F59"/>
    <w:rsid w:val="00C41B17"/>
    <w:rsid w:val="00C41B2C"/>
    <w:rsid w:val="00C465EC"/>
    <w:rsid w:val="00C50606"/>
    <w:rsid w:val="00C522B6"/>
    <w:rsid w:val="00C52C33"/>
    <w:rsid w:val="00C57D81"/>
    <w:rsid w:val="00C67F14"/>
    <w:rsid w:val="00C81470"/>
    <w:rsid w:val="00C83F14"/>
    <w:rsid w:val="00C879F6"/>
    <w:rsid w:val="00C91D0E"/>
    <w:rsid w:val="00C93373"/>
    <w:rsid w:val="00C95699"/>
    <w:rsid w:val="00CA4369"/>
    <w:rsid w:val="00CB1579"/>
    <w:rsid w:val="00CB348D"/>
    <w:rsid w:val="00CB53B7"/>
    <w:rsid w:val="00CB5DCE"/>
    <w:rsid w:val="00CC0CD5"/>
    <w:rsid w:val="00CC32CE"/>
    <w:rsid w:val="00CC74EF"/>
    <w:rsid w:val="00CD4034"/>
    <w:rsid w:val="00CD55BD"/>
    <w:rsid w:val="00CE50A2"/>
    <w:rsid w:val="00CF38D3"/>
    <w:rsid w:val="00D076C1"/>
    <w:rsid w:val="00D135DC"/>
    <w:rsid w:val="00D15177"/>
    <w:rsid w:val="00D15807"/>
    <w:rsid w:val="00D213D5"/>
    <w:rsid w:val="00D2480F"/>
    <w:rsid w:val="00D273F4"/>
    <w:rsid w:val="00D31039"/>
    <w:rsid w:val="00D315C4"/>
    <w:rsid w:val="00D3486A"/>
    <w:rsid w:val="00D34A4C"/>
    <w:rsid w:val="00D416C2"/>
    <w:rsid w:val="00D44AFB"/>
    <w:rsid w:val="00D506BB"/>
    <w:rsid w:val="00D51D3A"/>
    <w:rsid w:val="00D61B2B"/>
    <w:rsid w:val="00D65AF0"/>
    <w:rsid w:val="00D673F9"/>
    <w:rsid w:val="00D70A4A"/>
    <w:rsid w:val="00D82D26"/>
    <w:rsid w:val="00D85058"/>
    <w:rsid w:val="00D85594"/>
    <w:rsid w:val="00D85FE9"/>
    <w:rsid w:val="00D86AA9"/>
    <w:rsid w:val="00D916DE"/>
    <w:rsid w:val="00D95C14"/>
    <w:rsid w:val="00DA02C0"/>
    <w:rsid w:val="00DA1047"/>
    <w:rsid w:val="00DA3E0B"/>
    <w:rsid w:val="00DA4851"/>
    <w:rsid w:val="00DA5DD5"/>
    <w:rsid w:val="00DB2FBF"/>
    <w:rsid w:val="00DB6C5C"/>
    <w:rsid w:val="00DC0E55"/>
    <w:rsid w:val="00DC29CD"/>
    <w:rsid w:val="00DD2BAD"/>
    <w:rsid w:val="00DE323B"/>
    <w:rsid w:val="00DF61C8"/>
    <w:rsid w:val="00E02508"/>
    <w:rsid w:val="00E05452"/>
    <w:rsid w:val="00E134E7"/>
    <w:rsid w:val="00E14FFC"/>
    <w:rsid w:val="00E16480"/>
    <w:rsid w:val="00E17944"/>
    <w:rsid w:val="00E30EFA"/>
    <w:rsid w:val="00E40AE9"/>
    <w:rsid w:val="00E5345A"/>
    <w:rsid w:val="00E543AB"/>
    <w:rsid w:val="00E61B38"/>
    <w:rsid w:val="00E637E6"/>
    <w:rsid w:val="00E76933"/>
    <w:rsid w:val="00E83133"/>
    <w:rsid w:val="00E832D5"/>
    <w:rsid w:val="00E83369"/>
    <w:rsid w:val="00E967EA"/>
    <w:rsid w:val="00EA5C94"/>
    <w:rsid w:val="00EA6972"/>
    <w:rsid w:val="00EB0E11"/>
    <w:rsid w:val="00EB2735"/>
    <w:rsid w:val="00EB4A72"/>
    <w:rsid w:val="00EC0F76"/>
    <w:rsid w:val="00ED29E9"/>
    <w:rsid w:val="00ED45C5"/>
    <w:rsid w:val="00ED49C6"/>
    <w:rsid w:val="00EF4173"/>
    <w:rsid w:val="00F0038C"/>
    <w:rsid w:val="00F206EC"/>
    <w:rsid w:val="00F21E38"/>
    <w:rsid w:val="00F31B96"/>
    <w:rsid w:val="00F34EFF"/>
    <w:rsid w:val="00F357F1"/>
    <w:rsid w:val="00F43CD3"/>
    <w:rsid w:val="00F44D68"/>
    <w:rsid w:val="00F45E6E"/>
    <w:rsid w:val="00F52793"/>
    <w:rsid w:val="00F5593D"/>
    <w:rsid w:val="00F5705C"/>
    <w:rsid w:val="00F57484"/>
    <w:rsid w:val="00F604D9"/>
    <w:rsid w:val="00F72663"/>
    <w:rsid w:val="00F74584"/>
    <w:rsid w:val="00F81AA9"/>
    <w:rsid w:val="00F81D1D"/>
    <w:rsid w:val="00F85C0E"/>
    <w:rsid w:val="00F903F7"/>
    <w:rsid w:val="00F97F18"/>
    <w:rsid w:val="00FB1DC2"/>
    <w:rsid w:val="00FB7897"/>
    <w:rsid w:val="00FC4A8C"/>
    <w:rsid w:val="00FC7289"/>
    <w:rsid w:val="00FD3D42"/>
    <w:rsid w:val="00FE0903"/>
    <w:rsid w:val="00FE094A"/>
    <w:rsid w:val="00FE28B7"/>
    <w:rsid w:val="00FE6ACA"/>
    <w:rsid w:val="033A08A5"/>
    <w:rsid w:val="03E40608"/>
    <w:rsid w:val="044350AA"/>
    <w:rsid w:val="081E3E74"/>
    <w:rsid w:val="0B145BA7"/>
    <w:rsid w:val="0B882289"/>
    <w:rsid w:val="0D0E6E02"/>
    <w:rsid w:val="11AF372E"/>
    <w:rsid w:val="13860789"/>
    <w:rsid w:val="152853D4"/>
    <w:rsid w:val="16700DCC"/>
    <w:rsid w:val="174B21EE"/>
    <w:rsid w:val="18091E39"/>
    <w:rsid w:val="191A7AC3"/>
    <w:rsid w:val="1BF47DAD"/>
    <w:rsid w:val="1F4772DC"/>
    <w:rsid w:val="28A611C7"/>
    <w:rsid w:val="2ADC6A1B"/>
    <w:rsid w:val="2B8309F1"/>
    <w:rsid w:val="2D532F07"/>
    <w:rsid w:val="3078303F"/>
    <w:rsid w:val="336F4FB8"/>
    <w:rsid w:val="34FA3052"/>
    <w:rsid w:val="357D4313"/>
    <w:rsid w:val="37F10290"/>
    <w:rsid w:val="38DB5B9B"/>
    <w:rsid w:val="3BB44E73"/>
    <w:rsid w:val="3D952632"/>
    <w:rsid w:val="4082452D"/>
    <w:rsid w:val="4186321C"/>
    <w:rsid w:val="447637F7"/>
    <w:rsid w:val="49D3689C"/>
    <w:rsid w:val="4CE500CE"/>
    <w:rsid w:val="4D98018B"/>
    <w:rsid w:val="4E463252"/>
    <w:rsid w:val="50812123"/>
    <w:rsid w:val="52303B4C"/>
    <w:rsid w:val="530A3B01"/>
    <w:rsid w:val="58081C05"/>
    <w:rsid w:val="584E5430"/>
    <w:rsid w:val="5E4E0F62"/>
    <w:rsid w:val="60710221"/>
    <w:rsid w:val="61046CB9"/>
    <w:rsid w:val="61556C28"/>
    <w:rsid w:val="62160A32"/>
    <w:rsid w:val="623C2C32"/>
    <w:rsid w:val="62A90987"/>
    <w:rsid w:val="63C56A3A"/>
    <w:rsid w:val="665B715A"/>
    <w:rsid w:val="6DFD119E"/>
    <w:rsid w:val="6EFD4D8E"/>
    <w:rsid w:val="717061A6"/>
    <w:rsid w:val="72D42E6E"/>
    <w:rsid w:val="730D5481"/>
    <w:rsid w:val="751672DD"/>
    <w:rsid w:val="75C6035A"/>
    <w:rsid w:val="761C489F"/>
    <w:rsid w:val="77300506"/>
    <w:rsid w:val="781B1082"/>
    <w:rsid w:val="7A531E44"/>
    <w:rsid w:val="7D606F2B"/>
    <w:rsid w:val="7F59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19"/>
    <w:qFormat/>
    <w:uiPriority w:val="0"/>
    <w:pPr>
      <w:jc w:val="left"/>
    </w:pPr>
  </w:style>
  <w:style w:type="paragraph" w:styleId="5">
    <w:name w:val="Body Text"/>
    <w:basedOn w:val="1"/>
    <w:qFormat/>
    <w:uiPriority w:val="0"/>
    <w:pPr>
      <w:spacing w:line="540" w:lineRule="exact"/>
    </w:pPr>
    <w:rPr>
      <w:bCs/>
      <w:sz w:val="24"/>
      <w:szCs w:val="28"/>
    </w:rPr>
  </w:style>
  <w:style w:type="paragraph" w:styleId="6">
    <w:name w:val="Plain Text"/>
    <w:basedOn w:val="1"/>
    <w:link w:val="22"/>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qFormat/>
    <w:uiPriority w:val="0"/>
    <w:rPr>
      <w:sz w:val="21"/>
      <w:szCs w:val="21"/>
    </w:rPr>
  </w:style>
  <w:style w:type="paragraph" w:customStyle="1" w:styleId="17">
    <w:name w:val="Char Char Char Char1"/>
    <w:basedOn w:val="1"/>
    <w:qFormat/>
    <w:uiPriority w:val="0"/>
  </w:style>
  <w:style w:type="character" w:customStyle="1" w:styleId="18">
    <w:name w:val="页眉 Char"/>
    <w:basedOn w:val="14"/>
    <w:link w:val="9"/>
    <w:qFormat/>
    <w:uiPriority w:val="0"/>
    <w:rPr>
      <w:kern w:val="2"/>
      <w:sz w:val="18"/>
      <w:szCs w:val="18"/>
    </w:rPr>
  </w:style>
  <w:style w:type="character" w:customStyle="1" w:styleId="19">
    <w:name w:val="批注文字 Char"/>
    <w:basedOn w:val="14"/>
    <w:link w:val="4"/>
    <w:qFormat/>
    <w:uiPriority w:val="99"/>
    <w:rPr>
      <w:kern w:val="2"/>
      <w:sz w:val="21"/>
      <w:szCs w:val="24"/>
    </w:rPr>
  </w:style>
  <w:style w:type="character" w:customStyle="1" w:styleId="20">
    <w:name w:val="批注主题 Char"/>
    <w:basedOn w:val="19"/>
    <w:link w:val="11"/>
    <w:qFormat/>
    <w:uiPriority w:val="0"/>
    <w:rPr>
      <w:b/>
      <w:bCs/>
      <w:kern w:val="2"/>
      <w:sz w:val="21"/>
      <w:szCs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纯文本 Char"/>
    <w:link w:val="6"/>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511</Words>
  <Characters>2913</Characters>
  <Lines>24</Lines>
  <Paragraphs>6</Paragraphs>
  <TotalTime>145</TotalTime>
  <ScaleCrop>false</ScaleCrop>
  <LinksUpToDate>false</LinksUpToDate>
  <CharactersWithSpaces>3418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2020-06-14T15:23:00Z</dcterms:created>
  <dc:creator>liuyu</dc:creator>
  <cp:lastModifiedBy>huangjiayi</cp:lastModifiedBy>
  <cp:lastPrinted>2012-11-21T08:26:00Z</cp:lastPrinted>
  <dcterms:modified xsi:type="dcterms:W3CDTF">2025-08-27T02:22:45Z</dcterms:modified>
  <dc:title>中银国际证券有限责任公司证券投资基金风险评级办法（草）</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6AF5C7553C4347D9BDAB4F406944C4F1</vt:lpwstr>
  </property>
</Properties>
</file>