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sz w:val="36"/>
          <w:szCs w:val="36"/>
        </w:rPr>
      </w:pPr>
      <w:bookmarkStart w:id="0" w:name="_GoBack"/>
      <w:r>
        <w:rPr>
          <w:rFonts w:ascii="Times New Roman" w:hAnsi="Times New Roman"/>
          <w:sz w:val="36"/>
          <w:szCs w:val="36"/>
        </w:rPr>
        <w:t>上海证券交易所公开募集不动产投资信托基金（REITs）投资者风险揭示书必备条款</w:t>
      </w:r>
    </w:p>
    <w:bookmarkEnd w:id="0"/>
    <w:p>
      <w:pPr>
        <w:spacing w:line="360" w:lineRule="auto"/>
        <w:ind w:firstLine="480"/>
        <w:jc w:val="center"/>
        <w:rPr>
          <w:rFonts w:ascii="Times New Roman"/>
          <w:sz w:val="24"/>
          <w:szCs w:val="24"/>
        </w:rPr>
      </w:pPr>
      <w:r>
        <w:rPr>
          <w:rFonts w:ascii="Times New Roman"/>
          <w:sz w:val="24"/>
          <w:szCs w:val="24"/>
        </w:rPr>
        <w:t>（2025年</w:t>
      </w:r>
      <w:r>
        <w:rPr>
          <w:rFonts w:hint="eastAsia" w:ascii="Times New Roman"/>
          <w:sz w:val="24"/>
          <w:szCs w:val="24"/>
        </w:rPr>
        <w:t>12</w:t>
      </w:r>
      <w:r>
        <w:rPr>
          <w:rFonts w:ascii="Times New Roman"/>
          <w:sz w:val="24"/>
          <w:szCs w:val="24"/>
        </w:rPr>
        <w:t>月</w:t>
      </w:r>
      <w:r>
        <w:rPr>
          <w:rFonts w:hint="eastAsia" w:ascii="Times New Roman"/>
          <w:sz w:val="24"/>
          <w:szCs w:val="24"/>
        </w:rPr>
        <w:t>31</w:t>
      </w:r>
      <w:r>
        <w:rPr>
          <w:rFonts w:ascii="Times New Roman"/>
          <w:sz w:val="24"/>
          <w:szCs w:val="24"/>
        </w:rPr>
        <w:t>日发布）</w:t>
      </w:r>
    </w:p>
    <w:p>
      <w:pPr>
        <w:spacing w:line="360" w:lineRule="auto"/>
        <w:ind w:firstLine="480"/>
        <w:jc w:val="center"/>
        <w:rPr>
          <w:sz w:val="24"/>
          <w:szCs w:val="24"/>
        </w:rPr>
      </w:pPr>
    </w:p>
    <w:p>
      <w:pPr>
        <w:adjustRightInd w:val="0"/>
        <w:snapToGrid w:val="0"/>
        <w:spacing w:line="560" w:lineRule="exact"/>
        <w:rPr>
          <w:color w:val="000000"/>
        </w:rPr>
      </w:pPr>
      <w:r>
        <w:rPr>
          <w:rFonts w:hint="eastAsia"/>
          <w:color w:val="000000"/>
        </w:rPr>
        <w:t>为了使投资者充分了解上海证券交易所公开募集</w:t>
      </w:r>
      <w:r>
        <w:rPr>
          <w:rFonts w:hint="eastAsia"/>
        </w:rPr>
        <w:t>不动产投资信托</w:t>
      </w:r>
      <w:r>
        <w:rPr>
          <w:rFonts w:hint="eastAsia"/>
          <w:color w:val="000000"/>
        </w:rPr>
        <w:t>基金</w:t>
      </w:r>
      <w:r>
        <w:rPr>
          <w:rFonts w:hint="eastAsia" w:hAnsi="微软雅黑"/>
          <w:color w:val="000000"/>
        </w:rPr>
        <w:t>（</w:t>
      </w:r>
      <w:r>
        <w:rPr>
          <w:rFonts w:ascii="Times New Roman"/>
          <w:color w:val="000000"/>
        </w:rPr>
        <w:t>REITs</w:t>
      </w:r>
      <w:r>
        <w:rPr>
          <w:rFonts w:hAnsi="微软雅黑"/>
          <w:color w:val="000000"/>
        </w:rPr>
        <w:t>）</w:t>
      </w:r>
      <w:r>
        <w:rPr>
          <w:rFonts w:hint="eastAsia"/>
          <w:color w:val="000000"/>
        </w:rPr>
        <w:t>（以下简称不动产基金）相关业务的风险，开展不动产基金经纪业务的证券公司、基金管理人和</w:t>
      </w:r>
      <w:r>
        <w:rPr>
          <w:rFonts w:hint="eastAsia" w:hAnsi="微软雅黑"/>
          <w:color w:val="000000"/>
        </w:rPr>
        <w:t>基金销售机构</w:t>
      </w:r>
      <w:r>
        <w:rPr>
          <w:rFonts w:hint="eastAsia"/>
          <w:color w:val="000000"/>
        </w:rPr>
        <w:t>应当制定《公开募集不动产投资信托基金</w:t>
      </w:r>
      <w:r>
        <w:rPr>
          <w:rFonts w:ascii="Times New Roman"/>
          <w:color w:val="000000"/>
        </w:rPr>
        <w:t>（REITs）</w:t>
      </w:r>
      <w:r>
        <w:rPr>
          <w:rFonts w:hint="eastAsia"/>
          <w:color w:val="000000"/>
        </w:rPr>
        <w:t>交易风险揭示书》（以下简称《不动产基金风险揭示书》），向参与首次认购或买入不动产基金份额的普通投资者充分揭示风险。</w:t>
      </w:r>
    </w:p>
    <w:p>
      <w:pPr>
        <w:adjustRightInd w:val="0"/>
        <w:snapToGrid w:val="0"/>
        <w:spacing w:line="560" w:lineRule="exact"/>
      </w:pPr>
      <w:r>
        <w:rPr>
          <w:rFonts w:hint="eastAsia"/>
          <w:color w:val="000000"/>
        </w:rPr>
        <w:t>《不动产基金风险揭示书》</w:t>
      </w:r>
      <w:r>
        <w:rPr>
          <w:rFonts w:hint="eastAsia"/>
        </w:rPr>
        <w:t>应当至少包括下列内容：</w:t>
      </w:r>
    </w:p>
    <w:p>
      <w:pPr>
        <w:adjustRightInd w:val="0"/>
        <w:snapToGrid w:val="0"/>
        <w:spacing w:line="560" w:lineRule="exact"/>
      </w:pPr>
      <w:r>
        <w:rPr>
          <w:rFonts w:hint="eastAsia"/>
        </w:rPr>
        <w:t>不动产基金采用“公募基金+资产支持证券”的产品结构，主要特点如下：一是不动产基金与投资股票或者债券等公募基金具有不同的风险收益特征，</w:t>
      </w:r>
      <w:r>
        <w:rPr>
          <w:rFonts w:hint="eastAsia" w:ascii="Times New Roman"/>
        </w:rPr>
        <w:t>80%</w:t>
      </w:r>
      <w:r>
        <w:rPr>
          <w:rFonts w:hint="eastAsia"/>
        </w:rPr>
        <w:t>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w:t>
      </w:r>
      <w:r>
        <w:rPr>
          <w:rFonts w:hint="eastAsia" w:ascii="Times New Roman"/>
        </w:rPr>
        <w:t>90%</w:t>
      </w:r>
      <w:r>
        <w:rPr>
          <w:rFonts w:hint="eastAsia"/>
        </w:rPr>
        <w:t>；三是不动产基金采取封闭式运作，不开放申购与赎回，在证券交易所上市，场外份额持有人需将基金份额转托管至场内才可卖出或者申报预受要约。</w:t>
      </w:r>
    </w:p>
    <w:p>
      <w:pPr>
        <w:adjustRightInd w:val="0"/>
        <w:snapToGrid w:val="0"/>
        <w:spacing w:line="560" w:lineRule="exact"/>
      </w:pPr>
      <w:r>
        <w:rPr>
          <w:rFonts w:hint="eastAsia"/>
        </w:rPr>
        <w:t>投资不动产基金可能面临下列风险，包括但不限于：</w:t>
      </w:r>
    </w:p>
    <w:p>
      <w:pPr>
        <w:adjustRightInd w:val="0"/>
        <w:snapToGrid w:val="0"/>
        <w:spacing w:line="560" w:lineRule="exact"/>
      </w:pPr>
      <w:r>
        <w:rPr>
          <w:rFonts w:hint="eastAsia"/>
        </w:rPr>
        <w:t>一、基金价格波动风险。不动产基金大部分资产投资于不动产项目，具有权益属性，受经济环境、运营管理等因素影响，不动产项目市场价值以及现金流情况可能发生变化，可能引起不动产基金价格波动，甚至存在不动产项目遭遇极端事件（如地震、台风、火灾、战争等）发生较大损失而影响基金价格的风险。</w:t>
      </w:r>
    </w:p>
    <w:p>
      <w:pPr>
        <w:adjustRightInd w:val="0"/>
        <w:snapToGrid w:val="0"/>
        <w:spacing w:line="560" w:lineRule="exact"/>
      </w:pPr>
      <w:r>
        <w:rPr>
          <w:rFonts w:hint="eastAsia"/>
        </w:rPr>
        <w:t>二、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分配水平的稳定。此外，不动产基金可直接或者间接对外借款，存在不动产项目经营不达预期，基金无法偿还借款的风险。</w:t>
      </w:r>
    </w:p>
    <w:p>
      <w:pPr>
        <w:adjustRightInd w:val="0"/>
        <w:snapToGrid w:val="0"/>
        <w:spacing w:line="560" w:lineRule="exact"/>
      </w:pPr>
      <w:r>
        <w:rPr>
          <w:rFonts w:hint="eastAsia"/>
        </w:rPr>
        <w:t>三、流动性风险。不动产基金采取封闭式运作，不开通申购赎回，只能在二级市场交易，存在流动性不足的风险。</w:t>
      </w:r>
    </w:p>
    <w:p>
      <w:pPr>
        <w:adjustRightInd w:val="0"/>
        <w:snapToGrid w:val="0"/>
        <w:spacing w:line="560" w:lineRule="exact"/>
      </w:pPr>
      <w:r>
        <w:rPr>
          <w:rFonts w:hint="eastAsia"/>
        </w:rPr>
        <w:t>四、终止上市风险。不动产基金运作过程中可能因触发交易所业务规则规定的终止上市情形而终止上市，导致投资者无法在二级市场交易。</w:t>
      </w:r>
    </w:p>
    <w:p>
      <w:pPr>
        <w:adjustRightInd w:val="0"/>
        <w:snapToGrid w:val="0"/>
        <w:spacing w:line="560" w:lineRule="exact"/>
      </w:pPr>
      <w:r>
        <w:rPr>
          <w:rFonts w:hint="eastAsia"/>
        </w:rPr>
        <w:t>五、税收等政策调整风险。不动产基金运作过程中可能涉及基金持有人、公募基金、资产支持证券、项目公司等多层面税负，如果国家税收等政策发生调整，可能影响投资运作与基金收益。</w:t>
      </w:r>
    </w:p>
    <w:p>
      <w:pPr>
        <w:adjustRightInd w:val="0"/>
        <w:snapToGrid w:val="0"/>
        <w:spacing w:line="560" w:lineRule="exact"/>
      </w:pPr>
      <w:r>
        <w:rPr>
          <w:rFonts w:hint="eastAsia"/>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15026"/>
    <w:rsid w:val="54B1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00" w:firstLineChars="200"/>
      <w:jc w:val="both"/>
    </w:pPr>
    <w:rPr>
      <w:rFonts w:ascii="仿宋_GB2312" w:hAnsi="Times New Roman" w:eastAsia="仿宋_GB2312" w:cs="Times New Roman"/>
      <w:sz w:val="30"/>
      <w:szCs w:val="30"/>
      <w:lang w:val="en-US" w:eastAsia="zh-CN" w:bidi="ar-SA"/>
    </w:rPr>
  </w:style>
  <w:style w:type="paragraph" w:styleId="2">
    <w:name w:val="heading 1"/>
    <w:basedOn w:val="1"/>
    <w:next w:val="1"/>
    <w:qFormat/>
    <w:uiPriority w:val="9"/>
    <w:pPr>
      <w:spacing w:line="360" w:lineRule="auto"/>
      <w:ind w:firstLine="883"/>
      <w:jc w:val="center"/>
      <w:outlineLvl w:val="0"/>
    </w:pPr>
    <w:rPr>
      <w:rFonts w:ascii="宋体" w:hAnsi="宋体" w:eastAsia="宋体"/>
      <w:b/>
      <w:sz w:val="44"/>
      <w:szCs w:val="42"/>
    </w:rPr>
  </w:style>
  <w:style w:type="paragraph" w:styleId="3">
    <w:name w:val="heading 2"/>
    <w:basedOn w:val="2"/>
    <w:next w:val="1"/>
    <w:unhideWhenUsed/>
    <w:qFormat/>
    <w:uiPriority w:val="9"/>
    <w:pPr>
      <w:ind w:firstLine="0" w:firstLineChars="0"/>
      <w:outlineLvl w:val="1"/>
    </w:pPr>
    <w:rPr>
      <w:sz w:val="4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2026-01-06T09:45:00Z</dcterms:created>
  <dc:creator>沈阳</dc:creator>
  <cp:lastModifiedBy>沈阳</cp:lastModifiedBy>
  <dcterms:modified xsi:type="dcterms:W3CDTF">2026-01-06T09:45:56Z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22BCF43399B247A9A41D93A30B96CDC5</vt:lpwstr>
  </property>
</Properties>
</file>