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3A1AD">
      <w:pPr>
        <w:spacing w:line="540" w:lineRule="exact"/>
        <w:jc w:val="left"/>
        <w:rPr>
          <w:rFonts w:ascii="仿宋_GB2312" w:eastAsia="仿宋_GB2312"/>
          <w:b/>
          <w:sz w:val="30"/>
          <w:szCs w:val="30"/>
        </w:rPr>
      </w:pPr>
    </w:p>
    <w:p w14:paraId="44229E14">
      <w:pPr>
        <w:adjustRightInd w:val="0"/>
        <w:snapToGrid w:val="0"/>
        <w:spacing w:line="560" w:lineRule="exact"/>
        <w:jc w:val="center"/>
        <w:outlineLvl w:val="0"/>
        <w:rPr>
          <w:rFonts w:eastAsia="方正大标宋简体"/>
          <w:sz w:val="44"/>
          <w:szCs w:val="44"/>
        </w:rPr>
      </w:pPr>
      <w:r>
        <w:rPr>
          <w:rFonts w:eastAsia="方正大标宋简体"/>
          <w:sz w:val="44"/>
          <w:szCs w:val="44"/>
        </w:rPr>
        <w:t>上海证券交易所公开募集不动产投资信托基金（REITs）业务办法（试行）</w:t>
      </w:r>
    </w:p>
    <w:p w14:paraId="0A37B5E9">
      <w:pPr>
        <w:adjustRightInd w:val="0"/>
        <w:snapToGrid w:val="0"/>
        <w:spacing w:line="360" w:lineRule="auto"/>
        <w:ind w:firstLine="640" w:firstLineChars="200"/>
        <w:rPr>
          <w:sz w:val="32"/>
          <w:szCs w:val="32"/>
        </w:rPr>
      </w:pPr>
    </w:p>
    <w:p w14:paraId="1B09F325">
      <w:pPr>
        <w:pStyle w:val="54"/>
        <w:numPr>
          <w:ilvl w:val="0"/>
          <w:numId w:val="0"/>
        </w:numPr>
        <w:spacing w:line="560" w:lineRule="exact"/>
        <w:ind w:left="0" w:leftChars="0" w:firstLine="198" w:firstLineChars="0"/>
        <w:jc w:val="center"/>
        <w:rPr>
          <w:rFonts w:eastAsia="黑体"/>
          <w:bCs/>
          <w:sz w:val="32"/>
          <w:szCs w:val="32"/>
        </w:rPr>
      </w:pPr>
      <w:r>
        <w:rPr>
          <w:rFonts w:hint="eastAsia" w:ascii="Times New Roman" w:hAnsi="Times New Roman" w:eastAsia="黑体" w:cs="Times New Roman"/>
          <w:b w:val="0"/>
          <w:bCs/>
          <w:kern w:val="2"/>
          <w:sz w:val="32"/>
          <w:szCs w:val="32"/>
          <w:lang w:val="en-US" w:eastAsia="zh-CN" w:bidi="ar-SA"/>
        </w:rPr>
        <w:t>第一章</w:t>
      </w:r>
      <w:r>
        <w:rPr>
          <w:rFonts w:hint="eastAsia" w:eastAsia="黑体" w:cs="Times New Roman"/>
          <w:b w:val="0"/>
          <w:bCs/>
          <w:kern w:val="2"/>
          <w:sz w:val="32"/>
          <w:szCs w:val="32"/>
          <w:lang w:val="en-US" w:eastAsia="zh-CN" w:bidi="ar-SA"/>
        </w:rPr>
        <w:t xml:space="preserve"> </w:t>
      </w:r>
      <w:r>
        <w:rPr>
          <w:rFonts w:hint="eastAsia" w:hAnsi="黑体" w:eastAsia="黑体"/>
          <w:bCs/>
          <w:sz w:val="32"/>
          <w:szCs w:val="32"/>
        </w:rPr>
        <w:t>总</w:t>
      </w:r>
      <w:r>
        <w:rPr>
          <w:rFonts w:eastAsia="黑体"/>
          <w:bCs/>
          <w:sz w:val="32"/>
          <w:szCs w:val="32"/>
        </w:rPr>
        <w:t xml:space="preserve">  </w:t>
      </w:r>
      <w:r>
        <w:rPr>
          <w:rFonts w:hint="eastAsia" w:hAnsi="黑体" w:eastAsia="黑体"/>
          <w:bCs/>
          <w:sz w:val="32"/>
          <w:szCs w:val="32"/>
        </w:rPr>
        <w:t>则</w:t>
      </w:r>
    </w:p>
    <w:p w14:paraId="7D57DE98">
      <w:pPr>
        <w:pStyle w:val="54"/>
        <w:numPr>
          <w:ilvl w:val="0"/>
          <w:numId w:val="0"/>
        </w:numPr>
        <w:spacing w:line="560" w:lineRule="exact"/>
        <w:ind w:left="0" w:leftChars="0" w:firstLine="643" w:firstLineChars="200"/>
        <w:rPr>
          <w:rFonts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第一条 </w:t>
      </w:r>
      <w:r>
        <w:rPr>
          <w:rFonts w:eastAsia="仿宋_GB2312"/>
          <w:sz w:val="32"/>
          <w:szCs w:val="32"/>
        </w:rPr>
        <w:t>为</w:t>
      </w:r>
      <w:r>
        <w:rPr>
          <w:rFonts w:hint="eastAsia" w:eastAsia="仿宋_GB2312"/>
          <w:sz w:val="32"/>
          <w:szCs w:val="32"/>
        </w:rPr>
        <w:t>了</w:t>
      </w:r>
      <w:r>
        <w:rPr>
          <w:rFonts w:eastAsia="仿宋_GB2312"/>
          <w:sz w:val="32"/>
          <w:szCs w:val="32"/>
        </w:rPr>
        <w:t>规范上海证券交易所（以下简称本所）公开募集不动产投资信托基金（以下简称不动产基金）业务，保护投资者合法权益，根据《证券法》《证券投资基金法》《公开募集基础设施证券投资基金指引（试行）》（以下简称《基金指引》）、</w:t>
      </w:r>
      <w:r>
        <w:rPr>
          <w:rFonts w:hint="eastAsia" w:eastAsia="仿宋_GB2312"/>
          <w:sz w:val="32"/>
          <w:szCs w:val="32"/>
        </w:rPr>
        <w:t>《中国证监会关于推出商业不动产投资信托基金试点的公告》（以下简称《商业不动产基金公告》）、</w:t>
      </w:r>
      <w:r>
        <w:rPr>
          <w:rFonts w:eastAsia="仿宋_GB2312"/>
          <w:sz w:val="32"/>
          <w:szCs w:val="32"/>
        </w:rPr>
        <w:t>《证券公司及基金管理公司子公司资产证券化业务管理规定》（以下简称《资产证券化业务管理规定》）等有关法律、行政法规、部门规章、规范性文件</w:t>
      </w:r>
      <w:r>
        <w:rPr>
          <w:rFonts w:hint="eastAsia" w:eastAsia="仿宋_GB2312"/>
          <w:sz w:val="32"/>
          <w:szCs w:val="32"/>
        </w:rPr>
        <w:t>（以下统称法律法规）</w:t>
      </w:r>
      <w:r>
        <w:rPr>
          <w:rFonts w:eastAsia="仿宋_GB2312"/>
          <w:sz w:val="32"/>
          <w:szCs w:val="32"/>
        </w:rPr>
        <w:t>，制定本办法。</w:t>
      </w:r>
    </w:p>
    <w:p w14:paraId="161E67C3">
      <w:pPr>
        <w:pStyle w:val="54"/>
        <w:numPr>
          <w:ilvl w:val="0"/>
          <w:numId w:val="0"/>
        </w:numPr>
        <w:spacing w:line="560" w:lineRule="exact"/>
        <w:ind w:left="0" w:leftChars="0" w:firstLine="643" w:firstLineChars="200"/>
        <w:rPr>
          <w:rFonts w:eastAsia="仿宋_GB2312"/>
          <w:sz w:val="32"/>
          <w:szCs w:val="32"/>
        </w:rPr>
      </w:pPr>
      <w:r>
        <w:rPr>
          <w:rFonts w:hint="eastAsia" w:eastAsia="仿宋_GB2312"/>
          <w:b/>
          <w:sz w:val="32"/>
          <w:szCs w:val="32"/>
          <w:lang w:eastAsia="zh-CN"/>
        </w:rPr>
        <w:t>第二条</w:t>
      </w:r>
      <w:r>
        <w:rPr>
          <w:rFonts w:hint="eastAsia" w:eastAsia="仿宋_GB2312"/>
          <w:b/>
          <w:sz w:val="32"/>
          <w:szCs w:val="32"/>
          <w:lang w:val="en-US" w:eastAsia="zh-CN"/>
        </w:rPr>
        <w:t xml:space="preserve"> </w:t>
      </w:r>
      <w:r>
        <w:rPr>
          <w:rFonts w:eastAsia="仿宋_GB2312"/>
          <w:sz w:val="32"/>
          <w:szCs w:val="32"/>
        </w:rPr>
        <w:t>本办法所称不动产基金</w:t>
      </w:r>
      <w:r>
        <w:rPr>
          <w:rFonts w:hint="eastAsia" w:eastAsia="仿宋_GB2312"/>
          <w:sz w:val="32"/>
          <w:szCs w:val="32"/>
        </w:rPr>
        <w:t>以</w:t>
      </w:r>
      <w:r>
        <w:rPr>
          <w:rFonts w:eastAsia="仿宋_GB2312"/>
          <w:sz w:val="32"/>
          <w:szCs w:val="32"/>
        </w:rPr>
        <w:t>及不动产资产支持证券是指符合《基金指引》</w:t>
      </w:r>
      <w:r>
        <w:rPr>
          <w:rFonts w:hint="eastAsia" w:eastAsia="仿宋_GB2312"/>
          <w:sz w:val="32"/>
          <w:szCs w:val="32"/>
        </w:rPr>
        <w:t>《商业不动产基金公告》</w:t>
      </w:r>
      <w:r>
        <w:rPr>
          <w:rFonts w:eastAsia="仿宋_GB2312"/>
          <w:sz w:val="32"/>
          <w:szCs w:val="32"/>
        </w:rPr>
        <w:t>规定的基金产品</w:t>
      </w:r>
      <w:r>
        <w:rPr>
          <w:rFonts w:hint="eastAsia" w:eastAsia="仿宋_GB2312"/>
          <w:sz w:val="32"/>
          <w:szCs w:val="32"/>
        </w:rPr>
        <w:t>以</w:t>
      </w:r>
      <w:r>
        <w:rPr>
          <w:rFonts w:eastAsia="仿宋_GB2312"/>
          <w:sz w:val="32"/>
          <w:szCs w:val="32"/>
        </w:rPr>
        <w:t>及资产支持证券。</w:t>
      </w:r>
    </w:p>
    <w:p w14:paraId="115722AF">
      <w:pPr>
        <w:pStyle w:val="54"/>
        <w:numPr>
          <w:ilvl w:val="0"/>
          <w:numId w:val="0"/>
        </w:numPr>
        <w:spacing w:line="560" w:lineRule="exact"/>
        <w:ind w:left="0" w:leftChars="0" w:firstLine="640" w:firstLineChars="200"/>
        <w:rPr>
          <w:rFonts w:hint="eastAsia" w:eastAsia="仿宋_GB2312"/>
          <w:b/>
          <w:sz w:val="32"/>
          <w:szCs w:val="32"/>
          <w:lang w:eastAsia="zh-CN"/>
        </w:rPr>
      </w:pPr>
      <w:r>
        <w:rPr>
          <w:rFonts w:eastAsia="仿宋_GB2312"/>
          <w:sz w:val="32"/>
          <w:szCs w:val="32"/>
        </w:rPr>
        <w:t>不动产基金份额在本所的发售、上市交易以及不动产资产支持证券在本所的挂牌转让等业务活动，适用本办法。本办法未作规定的，适用《上海证券交易所证券投资基金上市规则》（以下简称《证券投资基金上市规则》）等本所其他有关规定。</w:t>
      </w:r>
    </w:p>
    <w:p w14:paraId="38B209E9">
      <w:pPr>
        <w:pStyle w:val="54"/>
        <w:numPr>
          <w:ilvl w:val="0"/>
          <w:numId w:val="0"/>
        </w:numPr>
        <w:spacing w:line="560" w:lineRule="exact"/>
        <w:ind w:left="0" w:leftChars="0" w:firstLine="643" w:firstLineChars="200"/>
        <w:rPr>
          <w:rFonts w:hint="eastAsia" w:eastAsia="仿宋_GB2312"/>
          <w:b/>
          <w:sz w:val="32"/>
          <w:szCs w:val="32"/>
          <w:lang w:eastAsia="zh-CN"/>
        </w:rPr>
      </w:pPr>
      <w:r>
        <w:rPr>
          <w:rFonts w:hint="eastAsia" w:eastAsia="仿宋_GB2312"/>
          <w:b/>
          <w:sz w:val="32"/>
          <w:szCs w:val="32"/>
          <w:lang w:eastAsia="zh-CN"/>
        </w:rPr>
        <w:t xml:space="preserve">第三条 </w:t>
      </w:r>
      <w:r>
        <w:rPr>
          <w:rFonts w:eastAsia="仿宋_GB2312"/>
          <w:sz w:val="32"/>
          <w:szCs w:val="32"/>
        </w:rPr>
        <w:t>不动产基金份额在本所上市交易、不动产资产支持证券在本所挂牌，不表明本所对该产品的投资风险或者收益等作出判断或者保证。不动产基金、不动产资产支持证券的投资风险，由投资者自行判断和承担。</w:t>
      </w:r>
    </w:p>
    <w:p w14:paraId="140FFAA9">
      <w:pPr>
        <w:pStyle w:val="54"/>
        <w:numPr>
          <w:ilvl w:val="0"/>
          <w:numId w:val="0"/>
        </w:numPr>
        <w:spacing w:line="560" w:lineRule="exact"/>
        <w:ind w:left="0" w:leftChars="0" w:firstLine="643" w:firstLineChars="200"/>
        <w:rPr>
          <w:rFonts w:eastAsia="仿宋_GB2312"/>
          <w:sz w:val="32"/>
          <w:szCs w:val="32"/>
        </w:rPr>
      </w:pPr>
      <w:r>
        <w:rPr>
          <w:rFonts w:hint="eastAsia" w:eastAsia="仿宋_GB2312"/>
          <w:b/>
          <w:sz w:val="32"/>
          <w:szCs w:val="32"/>
          <w:lang w:eastAsia="zh-CN"/>
        </w:rPr>
        <w:t xml:space="preserve">第四条 </w:t>
      </w:r>
      <w:r>
        <w:rPr>
          <w:rFonts w:eastAsia="仿宋_GB2312"/>
          <w:sz w:val="32"/>
          <w:szCs w:val="32"/>
        </w:rPr>
        <w:t>基金管理人、基金托管人、不动产项目</w:t>
      </w:r>
      <w:r>
        <w:rPr>
          <w:rFonts w:hint="eastAsia" w:eastAsia="仿宋_GB2312"/>
          <w:sz w:val="32"/>
          <w:szCs w:val="32"/>
        </w:rPr>
        <w:t>运营</w:t>
      </w:r>
      <w:r>
        <w:rPr>
          <w:rFonts w:eastAsia="仿宋_GB2312"/>
          <w:sz w:val="32"/>
          <w:szCs w:val="32"/>
        </w:rPr>
        <w:t>管理机构等业务参与机构及其人员从事不动产基金业务活动，</w:t>
      </w:r>
      <w:r>
        <w:rPr>
          <w:rFonts w:eastAsia="仿宋_GB2312"/>
          <w:kern w:val="0"/>
          <w:sz w:val="32"/>
          <w:szCs w:val="32"/>
        </w:rPr>
        <w:t>资产支持证券管理人</w:t>
      </w:r>
      <w:r>
        <w:rPr>
          <w:rFonts w:eastAsia="仿宋_GB2312"/>
          <w:sz w:val="32"/>
          <w:szCs w:val="32"/>
        </w:rPr>
        <w:t>、</w:t>
      </w:r>
      <w:r>
        <w:rPr>
          <w:rFonts w:eastAsia="仿宋_GB2312"/>
          <w:kern w:val="0"/>
          <w:sz w:val="32"/>
          <w:szCs w:val="32"/>
        </w:rPr>
        <w:t>资产支持证券托管人</w:t>
      </w:r>
      <w:r>
        <w:rPr>
          <w:rFonts w:eastAsia="仿宋_GB2312"/>
          <w:sz w:val="32"/>
          <w:szCs w:val="32"/>
        </w:rPr>
        <w:t>、资产服务机构、原始权益人等业务参与机构及其人员从事不动产资产支持证券业务活动，应当恪尽职守、诚实信用、谨慎勤勉，有效防范利益冲突。</w:t>
      </w:r>
    </w:p>
    <w:p w14:paraId="52D99370">
      <w:pPr>
        <w:spacing w:line="560" w:lineRule="exact"/>
        <w:ind w:firstLine="640" w:firstLineChars="200"/>
        <w:rPr>
          <w:rFonts w:eastAsia="仿宋_GB2312"/>
          <w:sz w:val="32"/>
          <w:szCs w:val="32"/>
        </w:rPr>
      </w:pPr>
      <w:r>
        <w:rPr>
          <w:rFonts w:eastAsia="仿宋_GB2312"/>
          <w:sz w:val="32"/>
          <w:szCs w:val="32"/>
        </w:rPr>
        <w:t>基金管理人、基金托管人、资产支持证券管理人、资产支持证券托管人等不动产基金、不动产资产支持证券的信息披露义务人，以及不动产基金的收购</w:t>
      </w:r>
      <w:r>
        <w:rPr>
          <w:rFonts w:hint="eastAsia" w:eastAsia="仿宋_GB2312"/>
          <w:sz w:val="32"/>
          <w:szCs w:val="32"/>
        </w:rPr>
        <w:t>和</w:t>
      </w:r>
      <w:r>
        <w:rPr>
          <w:rFonts w:eastAsia="仿宋_GB2312"/>
          <w:sz w:val="32"/>
          <w:szCs w:val="32"/>
        </w:rPr>
        <w:t>基金份额权益（以下简称份额权益）变动活动中的信息披露义务人应当及时、公平地履行信息披露义务，保证其向本所提交的文件和披露的信息真实、准确、完整，不存在虚假记载、误导性陈述或者重大遗漏。</w:t>
      </w:r>
    </w:p>
    <w:p w14:paraId="75BE7133">
      <w:pPr>
        <w:pStyle w:val="54"/>
        <w:numPr>
          <w:ilvl w:val="0"/>
          <w:numId w:val="0"/>
        </w:numPr>
        <w:spacing w:line="560" w:lineRule="exact"/>
        <w:ind w:left="0" w:leftChars="0" w:firstLine="640" w:firstLineChars="200"/>
        <w:rPr>
          <w:rFonts w:hint="eastAsia" w:eastAsia="仿宋_GB2312"/>
          <w:b/>
          <w:sz w:val="32"/>
          <w:szCs w:val="32"/>
          <w:lang w:eastAsia="zh-CN"/>
        </w:rPr>
      </w:pPr>
      <w:r>
        <w:rPr>
          <w:rFonts w:eastAsia="仿宋_GB2312"/>
          <w:sz w:val="32"/>
          <w:szCs w:val="32"/>
        </w:rPr>
        <w:t>为不动产基金、不动产资产支持证券提供服务的财务顾问、会计师事务所、律师事务所、资产评估机构等专业机构及其人员，应当勤勉尽责，严格遵守执业规范和监管规则，按</w:t>
      </w:r>
      <w:r>
        <w:rPr>
          <w:rFonts w:hint="eastAsia" w:eastAsia="仿宋_GB2312"/>
          <w:sz w:val="32"/>
          <w:szCs w:val="32"/>
        </w:rPr>
        <w:t>照</w:t>
      </w:r>
      <w:r>
        <w:rPr>
          <w:rFonts w:eastAsia="仿宋_GB2312"/>
          <w:sz w:val="32"/>
          <w:szCs w:val="32"/>
        </w:rPr>
        <w:t>规定和约定履行义务，</w:t>
      </w:r>
      <w:r>
        <w:rPr>
          <w:rFonts w:hint="eastAsia" w:eastAsia="仿宋_GB2312"/>
          <w:sz w:val="32"/>
          <w:szCs w:val="32"/>
        </w:rPr>
        <w:t>保证其</w:t>
      </w:r>
      <w:r>
        <w:rPr>
          <w:rFonts w:eastAsia="仿宋_GB2312"/>
          <w:sz w:val="32"/>
          <w:szCs w:val="32"/>
        </w:rPr>
        <w:t>出具的文件和专业意见真实、准确、完整，不存在虚假记载、误导性陈述或者重大遗漏。</w:t>
      </w:r>
    </w:p>
    <w:p w14:paraId="383F491B">
      <w:pPr>
        <w:pStyle w:val="54"/>
        <w:numPr>
          <w:ilvl w:val="0"/>
          <w:numId w:val="0"/>
        </w:numPr>
        <w:spacing w:line="560" w:lineRule="exact"/>
        <w:ind w:left="0" w:leftChars="0" w:firstLine="643" w:firstLineChars="200"/>
        <w:rPr>
          <w:rFonts w:eastAsia="仿宋_GB2312"/>
          <w:sz w:val="32"/>
          <w:szCs w:val="32"/>
        </w:rPr>
      </w:pPr>
      <w:r>
        <w:rPr>
          <w:rFonts w:hint="eastAsia" w:eastAsia="仿宋_GB2312"/>
          <w:b/>
          <w:sz w:val="32"/>
          <w:szCs w:val="32"/>
          <w:lang w:eastAsia="zh-CN"/>
        </w:rPr>
        <w:t xml:space="preserve">第五条 </w:t>
      </w:r>
      <w:r>
        <w:rPr>
          <w:rFonts w:eastAsia="仿宋_GB2312"/>
          <w:sz w:val="32"/>
          <w:szCs w:val="32"/>
        </w:rPr>
        <w:t>基金管理人、基金销售机构</w:t>
      </w:r>
      <w:r>
        <w:rPr>
          <w:rFonts w:hint="eastAsia" w:eastAsia="仿宋_GB2312"/>
          <w:sz w:val="32"/>
          <w:szCs w:val="32"/>
        </w:rPr>
        <w:t>以</w:t>
      </w:r>
      <w:r>
        <w:rPr>
          <w:rFonts w:eastAsia="仿宋_GB2312"/>
          <w:sz w:val="32"/>
          <w:szCs w:val="32"/>
        </w:rPr>
        <w:t>及本所会员应当加强基金投资者保护，通过多种渠道开展投资者教育，充分揭示相关风险，切实履行投资者适当性管理职责，引导投资者理性参与基金投资。</w:t>
      </w:r>
    </w:p>
    <w:p w14:paraId="60B4CDC3">
      <w:pPr>
        <w:pStyle w:val="54"/>
        <w:numPr>
          <w:ilvl w:val="0"/>
          <w:numId w:val="0"/>
        </w:numPr>
        <w:spacing w:line="560" w:lineRule="exact"/>
        <w:ind w:left="0" w:leftChars="0" w:firstLine="640" w:firstLineChars="200"/>
        <w:rPr>
          <w:rFonts w:hint="eastAsia" w:eastAsia="仿宋_GB2312"/>
          <w:b/>
          <w:sz w:val="32"/>
          <w:szCs w:val="32"/>
          <w:lang w:eastAsia="zh-CN"/>
        </w:rPr>
      </w:pPr>
      <w:r>
        <w:rPr>
          <w:rFonts w:eastAsia="仿宋_GB2312"/>
          <w:sz w:val="32"/>
          <w:szCs w:val="32"/>
        </w:rPr>
        <w:t>投资者买卖不动产基金份额，应当遵守中国证监会</w:t>
      </w:r>
      <w:r>
        <w:rPr>
          <w:rFonts w:hint="eastAsia" w:eastAsia="仿宋_GB2312"/>
          <w:sz w:val="32"/>
          <w:szCs w:val="32"/>
        </w:rPr>
        <w:t>以</w:t>
      </w:r>
      <w:r>
        <w:rPr>
          <w:rFonts w:eastAsia="仿宋_GB2312"/>
          <w:sz w:val="32"/>
          <w:szCs w:val="32"/>
        </w:rPr>
        <w:t>及本所的有关规定。</w:t>
      </w:r>
    </w:p>
    <w:p w14:paraId="4D968908">
      <w:pPr>
        <w:pStyle w:val="54"/>
        <w:numPr>
          <w:ilvl w:val="0"/>
          <w:numId w:val="0"/>
        </w:numPr>
        <w:spacing w:line="560" w:lineRule="exact"/>
        <w:ind w:left="0" w:leftChars="0" w:firstLine="643" w:firstLineChars="200"/>
        <w:rPr>
          <w:rFonts w:hint="eastAsia" w:eastAsia="仿宋_GB2312"/>
          <w:b/>
          <w:sz w:val="32"/>
          <w:szCs w:val="32"/>
          <w:lang w:eastAsia="zh-CN"/>
        </w:rPr>
      </w:pPr>
      <w:r>
        <w:rPr>
          <w:rFonts w:hint="eastAsia" w:eastAsia="仿宋_GB2312"/>
          <w:b/>
          <w:sz w:val="32"/>
          <w:szCs w:val="32"/>
          <w:lang w:eastAsia="zh-CN"/>
        </w:rPr>
        <w:t xml:space="preserve">第六条 </w:t>
      </w:r>
      <w:r>
        <w:rPr>
          <w:rFonts w:eastAsia="仿宋_GB2312"/>
          <w:sz w:val="32"/>
          <w:szCs w:val="32"/>
        </w:rPr>
        <w:t>本所依照</w:t>
      </w:r>
      <w:r>
        <w:rPr>
          <w:rFonts w:hint="eastAsia" w:eastAsia="仿宋_GB2312"/>
          <w:sz w:val="32"/>
          <w:szCs w:val="32"/>
        </w:rPr>
        <w:t>法律法规</w:t>
      </w:r>
      <w:r>
        <w:rPr>
          <w:rFonts w:eastAsia="仿宋_GB2312"/>
          <w:sz w:val="32"/>
          <w:szCs w:val="32"/>
        </w:rPr>
        <w:t>、本办法、本所其他</w:t>
      </w:r>
      <w:r>
        <w:rPr>
          <w:rFonts w:hint="eastAsia" w:eastAsia="仿宋_GB2312"/>
          <w:sz w:val="32"/>
          <w:szCs w:val="32"/>
        </w:rPr>
        <w:t>有</w:t>
      </w:r>
      <w:r>
        <w:rPr>
          <w:rFonts w:eastAsia="仿宋_GB2312"/>
          <w:sz w:val="32"/>
          <w:szCs w:val="32"/>
        </w:rPr>
        <w:t>关业务规定、上市（挂牌）协议，</w:t>
      </w:r>
      <w:r>
        <w:rPr>
          <w:rFonts w:hint="eastAsia" w:eastAsia="仿宋_GB2312"/>
          <w:sz w:val="32"/>
          <w:szCs w:val="32"/>
        </w:rPr>
        <w:t>以及</w:t>
      </w:r>
      <w:r>
        <w:rPr>
          <w:rFonts w:eastAsia="仿宋_GB2312"/>
          <w:sz w:val="32"/>
          <w:szCs w:val="32"/>
        </w:rPr>
        <w:t>业务参与机构及其</w:t>
      </w:r>
      <w:r>
        <w:rPr>
          <w:rFonts w:hint="eastAsia" w:eastAsia="仿宋_GB2312"/>
          <w:sz w:val="32"/>
          <w:szCs w:val="32"/>
        </w:rPr>
        <w:t>有</w:t>
      </w:r>
      <w:r>
        <w:rPr>
          <w:rFonts w:eastAsia="仿宋_GB2312"/>
          <w:sz w:val="32"/>
          <w:szCs w:val="32"/>
        </w:rPr>
        <w:t>关人员、信息披露义务人、专业机构及其</w:t>
      </w:r>
      <w:r>
        <w:rPr>
          <w:rFonts w:hint="eastAsia" w:eastAsia="仿宋_GB2312"/>
          <w:sz w:val="32"/>
          <w:szCs w:val="32"/>
        </w:rPr>
        <w:t>有</w:t>
      </w:r>
      <w:r>
        <w:rPr>
          <w:rFonts w:eastAsia="仿宋_GB2312"/>
          <w:sz w:val="32"/>
          <w:szCs w:val="32"/>
        </w:rPr>
        <w:t>关人员、投资者及其</w:t>
      </w:r>
      <w:r>
        <w:rPr>
          <w:rFonts w:hint="eastAsia" w:eastAsia="仿宋_GB2312"/>
          <w:sz w:val="32"/>
          <w:szCs w:val="32"/>
        </w:rPr>
        <w:t>有</w:t>
      </w:r>
      <w:r>
        <w:rPr>
          <w:rFonts w:eastAsia="仿宋_GB2312"/>
          <w:sz w:val="32"/>
          <w:szCs w:val="32"/>
        </w:rPr>
        <w:t>关人员（以下简称监管对象）</w:t>
      </w:r>
      <w:r>
        <w:rPr>
          <w:rFonts w:hint="eastAsia" w:eastAsia="仿宋_GB2312"/>
          <w:sz w:val="32"/>
          <w:szCs w:val="32"/>
        </w:rPr>
        <w:t>所作出的承诺等，对监管对象</w:t>
      </w:r>
      <w:r>
        <w:rPr>
          <w:rFonts w:eastAsia="仿宋_GB2312"/>
          <w:sz w:val="32"/>
          <w:szCs w:val="32"/>
        </w:rPr>
        <w:t>实施自律管理。</w:t>
      </w:r>
    </w:p>
    <w:p w14:paraId="6F946F85">
      <w:pPr>
        <w:pStyle w:val="54"/>
        <w:numPr>
          <w:ilvl w:val="0"/>
          <w:numId w:val="0"/>
        </w:numPr>
        <w:spacing w:line="560" w:lineRule="exact"/>
        <w:ind w:left="0" w:leftChars="0" w:firstLine="643" w:firstLineChars="200"/>
        <w:rPr>
          <w:rFonts w:eastAsia="仿宋_GB2312"/>
          <w:sz w:val="32"/>
          <w:szCs w:val="32"/>
        </w:rPr>
      </w:pPr>
      <w:r>
        <w:rPr>
          <w:rFonts w:hint="eastAsia" w:eastAsia="仿宋_GB2312"/>
          <w:b/>
          <w:sz w:val="32"/>
          <w:szCs w:val="32"/>
          <w:lang w:eastAsia="zh-CN"/>
        </w:rPr>
        <w:t xml:space="preserve">第七条 </w:t>
      </w:r>
      <w:r>
        <w:rPr>
          <w:rFonts w:eastAsia="仿宋_GB2312"/>
          <w:sz w:val="32"/>
          <w:szCs w:val="32"/>
        </w:rPr>
        <w:t>不动产基金的登记结算相关业务适用中国证券登记结算有限责任公司（以下简称中国结算）</w:t>
      </w:r>
      <w:r>
        <w:rPr>
          <w:rFonts w:hint="eastAsia" w:eastAsia="仿宋_GB2312"/>
          <w:sz w:val="32"/>
          <w:szCs w:val="32"/>
        </w:rPr>
        <w:t>有</w:t>
      </w:r>
      <w:r>
        <w:rPr>
          <w:rFonts w:eastAsia="仿宋_GB2312"/>
          <w:sz w:val="32"/>
          <w:szCs w:val="32"/>
        </w:rPr>
        <w:t>关规定。</w:t>
      </w:r>
    </w:p>
    <w:p w14:paraId="47CFBFAA">
      <w:pPr>
        <w:pStyle w:val="54"/>
        <w:numPr>
          <w:ilvl w:val="0"/>
          <w:numId w:val="0"/>
        </w:numPr>
        <w:spacing w:line="560" w:lineRule="exact"/>
        <w:ind w:left="0" w:leftChars="0" w:firstLine="198" w:firstLineChars="0"/>
        <w:jc w:val="center"/>
        <w:rPr>
          <w:rFonts w:eastAsia="黑体"/>
          <w:bCs/>
          <w:sz w:val="32"/>
          <w:szCs w:val="32"/>
        </w:rPr>
      </w:pPr>
      <w:r>
        <w:rPr>
          <w:rFonts w:hint="eastAsia" w:ascii="Times New Roman" w:hAnsi="Times New Roman" w:eastAsia="黑体" w:cs="Times New Roman"/>
          <w:b w:val="0"/>
          <w:bCs/>
          <w:kern w:val="2"/>
          <w:sz w:val="32"/>
          <w:szCs w:val="32"/>
          <w:lang w:val="en-US" w:eastAsia="zh-CN" w:bidi="ar-SA"/>
        </w:rPr>
        <w:t>第二章</w:t>
      </w:r>
      <w:r>
        <w:rPr>
          <w:rFonts w:hint="eastAsia" w:eastAsia="黑体" w:cs="Times New Roman"/>
          <w:b w:val="0"/>
          <w:bCs/>
          <w:kern w:val="2"/>
          <w:sz w:val="32"/>
          <w:szCs w:val="32"/>
          <w:lang w:val="en-US" w:eastAsia="zh-CN" w:bidi="ar-SA"/>
        </w:rPr>
        <w:t xml:space="preserve"> </w:t>
      </w:r>
      <w:r>
        <w:rPr>
          <w:rFonts w:hint="eastAsia" w:hAnsi="黑体" w:eastAsia="黑体"/>
          <w:bCs/>
          <w:sz w:val="32"/>
          <w:szCs w:val="32"/>
        </w:rPr>
        <w:t>申请条件与审核程序</w:t>
      </w:r>
    </w:p>
    <w:p w14:paraId="72C94FE0">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第八条 </w:t>
      </w:r>
      <w:r>
        <w:rPr>
          <w:rFonts w:eastAsia="仿宋_GB2312"/>
          <w:sz w:val="32"/>
          <w:szCs w:val="32"/>
        </w:rPr>
        <w:t>不动产基金拟在本所上市的，基金管理人应当向本所提交不动产基金上市申请，由本所审核是否具备上市条件；资产支持证券管理人应当同时向本所提交不动产资产支持证券挂牌申请，由本所确认是否符合相关条件。</w:t>
      </w:r>
    </w:p>
    <w:p w14:paraId="196DE391">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第九条 </w:t>
      </w:r>
      <w:r>
        <w:rPr>
          <w:rFonts w:eastAsia="仿宋_GB2312"/>
          <w:sz w:val="32"/>
          <w:szCs w:val="32"/>
        </w:rPr>
        <w:t>不动产基金申请在本所上市的，应当符合《基金指引》</w:t>
      </w:r>
      <w:r>
        <w:rPr>
          <w:rFonts w:hint="eastAsia" w:eastAsia="仿宋_GB2312"/>
          <w:sz w:val="32"/>
          <w:szCs w:val="32"/>
        </w:rPr>
        <w:t>《商业不动产基金公告》</w:t>
      </w:r>
      <w:r>
        <w:rPr>
          <w:rFonts w:eastAsia="仿宋_GB2312"/>
          <w:sz w:val="32"/>
          <w:szCs w:val="32"/>
        </w:rPr>
        <w:t>和本所规定的条件。</w:t>
      </w:r>
    </w:p>
    <w:p w14:paraId="5E1F5EE0">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第十条 </w:t>
      </w:r>
      <w:r>
        <w:rPr>
          <w:rFonts w:eastAsia="仿宋_GB2312"/>
          <w:sz w:val="32"/>
          <w:szCs w:val="32"/>
        </w:rPr>
        <w:t>不动产资产支持证券申请在本所挂牌的，应当符合《基金指引》</w:t>
      </w:r>
      <w:r>
        <w:rPr>
          <w:rFonts w:hint="eastAsia" w:eastAsia="仿宋_GB2312"/>
          <w:sz w:val="32"/>
          <w:szCs w:val="32"/>
        </w:rPr>
        <w:t>《商业不动产基金公告》</w:t>
      </w:r>
      <w:r>
        <w:rPr>
          <w:rFonts w:eastAsia="仿宋_GB2312"/>
          <w:sz w:val="32"/>
          <w:szCs w:val="32"/>
        </w:rPr>
        <w:t>《资产证券化业务管理规定》规定的条件。</w:t>
      </w:r>
    </w:p>
    <w:p w14:paraId="393435EE">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第十一条 </w:t>
      </w:r>
      <w:r>
        <w:rPr>
          <w:rFonts w:eastAsia="仿宋_GB2312"/>
          <w:kern w:val="0"/>
          <w:sz w:val="32"/>
          <w:szCs w:val="32"/>
        </w:rPr>
        <w:t>基金管理人、资产支持证券管理人应当聘请符合规定的专业机构提供评估、法律、审计等专业服务，对拟持有的不动产项目进行全面尽职调查。基金管理人拟委托</w:t>
      </w:r>
      <w:r>
        <w:rPr>
          <w:rFonts w:hint="eastAsia" w:eastAsia="仿宋_GB2312"/>
          <w:kern w:val="0"/>
          <w:sz w:val="32"/>
          <w:szCs w:val="32"/>
        </w:rPr>
        <w:t>运营</w:t>
      </w:r>
      <w:r>
        <w:rPr>
          <w:rFonts w:eastAsia="仿宋_GB2312"/>
          <w:kern w:val="0"/>
          <w:sz w:val="32"/>
          <w:szCs w:val="32"/>
        </w:rPr>
        <w:t>管理机构运营管理不动产项目的，应当对</w:t>
      </w:r>
      <w:r>
        <w:rPr>
          <w:rFonts w:hint="eastAsia" w:eastAsia="仿宋_GB2312"/>
          <w:kern w:val="0"/>
          <w:sz w:val="32"/>
          <w:szCs w:val="32"/>
        </w:rPr>
        <w:t>拟</w:t>
      </w:r>
      <w:r>
        <w:rPr>
          <w:rFonts w:eastAsia="仿宋_GB2312"/>
          <w:kern w:val="0"/>
          <w:sz w:val="32"/>
          <w:szCs w:val="32"/>
        </w:rPr>
        <w:t>接受委托的</w:t>
      </w:r>
      <w:r>
        <w:rPr>
          <w:rFonts w:hint="eastAsia" w:eastAsia="仿宋_GB2312"/>
          <w:kern w:val="0"/>
          <w:sz w:val="32"/>
          <w:szCs w:val="32"/>
        </w:rPr>
        <w:t>运营</w:t>
      </w:r>
      <w:r>
        <w:rPr>
          <w:rFonts w:eastAsia="仿宋_GB2312"/>
          <w:kern w:val="0"/>
          <w:sz w:val="32"/>
          <w:szCs w:val="32"/>
        </w:rPr>
        <w:t>管理机构进行充分的尽职调查，</w:t>
      </w:r>
      <w:r>
        <w:rPr>
          <w:rFonts w:eastAsia="仿宋_GB2312"/>
          <w:sz w:val="32"/>
          <w:szCs w:val="32"/>
        </w:rPr>
        <w:t>确保其在专业资质（如有）、人员配备、公司治理等方面符合规定的要求，具备充分的履职能力。</w:t>
      </w:r>
    </w:p>
    <w:p w14:paraId="6D886486">
      <w:pPr>
        <w:tabs>
          <w:tab w:val="left" w:pos="1701"/>
        </w:tabs>
        <w:spacing w:line="560" w:lineRule="exact"/>
        <w:ind w:firstLine="640" w:firstLineChars="200"/>
        <w:rPr>
          <w:rFonts w:eastAsia="仿宋_GB2312"/>
          <w:sz w:val="32"/>
          <w:szCs w:val="32"/>
        </w:rPr>
      </w:pPr>
      <w:r>
        <w:rPr>
          <w:rFonts w:eastAsia="仿宋_GB2312"/>
          <w:kern w:val="0"/>
          <w:sz w:val="32"/>
          <w:szCs w:val="32"/>
        </w:rPr>
        <w:t>基金管理人与资产支持证券管理人聘请的专业机构可以为同一机构。资产支持证券管理人聘请资产服务机构的，资产服务机构可以与</w:t>
      </w:r>
      <w:r>
        <w:rPr>
          <w:rFonts w:hint="eastAsia" w:eastAsia="仿宋_GB2312"/>
          <w:kern w:val="0"/>
          <w:sz w:val="32"/>
          <w:szCs w:val="32"/>
        </w:rPr>
        <w:t>运营</w:t>
      </w:r>
      <w:r>
        <w:rPr>
          <w:rFonts w:eastAsia="仿宋_GB2312"/>
          <w:kern w:val="0"/>
          <w:sz w:val="32"/>
          <w:szCs w:val="32"/>
        </w:rPr>
        <w:t>管理机构为同一机构。</w:t>
      </w:r>
      <w:r>
        <w:rPr>
          <w:rFonts w:eastAsia="仿宋_GB2312"/>
          <w:sz w:val="32"/>
          <w:szCs w:val="32"/>
        </w:rPr>
        <w:t>基金管理人</w:t>
      </w:r>
      <w:r>
        <w:rPr>
          <w:rFonts w:eastAsia="仿宋_GB2312"/>
          <w:kern w:val="0"/>
          <w:sz w:val="32"/>
          <w:szCs w:val="32"/>
        </w:rPr>
        <w:t>可以聘请财务顾问开展尽职调查，也</w:t>
      </w:r>
      <w:r>
        <w:rPr>
          <w:rFonts w:eastAsia="仿宋_GB2312"/>
          <w:sz w:val="32"/>
          <w:szCs w:val="32"/>
        </w:rPr>
        <w:t>可以与资产支持证券管理人联合开展尽职调查，但应当各自依法承担相应的责任。</w:t>
      </w:r>
    </w:p>
    <w:p w14:paraId="073BDD88">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第十二条 </w:t>
      </w:r>
      <w:r>
        <w:rPr>
          <w:rFonts w:eastAsia="仿宋_GB2312"/>
          <w:sz w:val="32"/>
          <w:szCs w:val="32"/>
        </w:rPr>
        <w:t>基金管理人申请不动产基金上市</w:t>
      </w:r>
      <w:r>
        <w:rPr>
          <w:rFonts w:hint="eastAsia" w:eastAsia="仿宋_GB2312"/>
          <w:sz w:val="32"/>
          <w:szCs w:val="32"/>
        </w:rPr>
        <w:t>的</w:t>
      </w:r>
      <w:r>
        <w:rPr>
          <w:rFonts w:eastAsia="仿宋_GB2312"/>
          <w:sz w:val="32"/>
          <w:szCs w:val="32"/>
        </w:rPr>
        <w:t>，应当向本所提交</w:t>
      </w:r>
      <w:r>
        <w:rPr>
          <w:rFonts w:hint="eastAsia" w:eastAsia="仿宋_GB2312"/>
          <w:sz w:val="32"/>
          <w:szCs w:val="32"/>
        </w:rPr>
        <w:t>下列</w:t>
      </w:r>
      <w:r>
        <w:rPr>
          <w:rFonts w:eastAsia="仿宋_GB2312"/>
          <w:sz w:val="32"/>
          <w:szCs w:val="32"/>
        </w:rPr>
        <w:t>文件：</w:t>
      </w:r>
    </w:p>
    <w:p w14:paraId="1104D82E">
      <w:pPr>
        <w:pStyle w:val="54"/>
        <w:numPr>
          <w:ilvl w:val="1"/>
          <w:numId w:val="3"/>
        </w:numPr>
        <w:spacing w:line="560" w:lineRule="exact"/>
        <w:ind w:left="0" w:firstLine="640"/>
        <w:rPr>
          <w:rFonts w:eastAsia="仿宋_GB2312"/>
          <w:sz w:val="32"/>
          <w:szCs w:val="32"/>
        </w:rPr>
      </w:pPr>
      <w:r>
        <w:rPr>
          <w:rFonts w:eastAsia="仿宋_GB2312"/>
          <w:sz w:val="32"/>
          <w:szCs w:val="32"/>
        </w:rPr>
        <w:t>上市申请</w:t>
      </w:r>
      <w:r>
        <w:rPr>
          <w:rFonts w:hint="eastAsia" w:eastAsia="仿宋_GB2312"/>
          <w:sz w:val="32"/>
          <w:szCs w:val="32"/>
        </w:rPr>
        <w:t>书</w:t>
      </w:r>
      <w:r>
        <w:rPr>
          <w:rFonts w:eastAsia="仿宋_GB2312"/>
          <w:sz w:val="32"/>
          <w:szCs w:val="32"/>
        </w:rPr>
        <w:t>；</w:t>
      </w:r>
    </w:p>
    <w:p w14:paraId="74CE9BC4">
      <w:pPr>
        <w:pStyle w:val="54"/>
        <w:numPr>
          <w:ilvl w:val="1"/>
          <w:numId w:val="3"/>
        </w:numPr>
        <w:spacing w:line="560" w:lineRule="exact"/>
        <w:ind w:left="0" w:firstLine="640"/>
        <w:rPr>
          <w:rFonts w:eastAsia="仿宋_GB2312"/>
          <w:sz w:val="32"/>
          <w:szCs w:val="32"/>
        </w:rPr>
      </w:pPr>
      <w:r>
        <w:rPr>
          <w:rFonts w:eastAsia="仿宋_GB2312"/>
          <w:sz w:val="32"/>
          <w:szCs w:val="32"/>
        </w:rPr>
        <w:t>基金合同草案；</w:t>
      </w:r>
    </w:p>
    <w:p w14:paraId="52D7ED8A">
      <w:pPr>
        <w:pStyle w:val="54"/>
        <w:numPr>
          <w:ilvl w:val="1"/>
          <w:numId w:val="3"/>
        </w:numPr>
        <w:spacing w:line="560" w:lineRule="exact"/>
        <w:ind w:left="0" w:firstLine="640"/>
        <w:rPr>
          <w:rFonts w:eastAsia="仿宋_GB2312"/>
          <w:sz w:val="32"/>
          <w:szCs w:val="32"/>
        </w:rPr>
      </w:pPr>
      <w:r>
        <w:rPr>
          <w:rFonts w:eastAsia="仿宋_GB2312"/>
          <w:sz w:val="32"/>
          <w:szCs w:val="32"/>
        </w:rPr>
        <w:t>基金托管协议草案；</w:t>
      </w:r>
    </w:p>
    <w:p w14:paraId="327D343B">
      <w:pPr>
        <w:pStyle w:val="54"/>
        <w:numPr>
          <w:ilvl w:val="1"/>
          <w:numId w:val="3"/>
        </w:numPr>
        <w:spacing w:line="560" w:lineRule="exact"/>
        <w:ind w:left="0" w:firstLine="640"/>
        <w:rPr>
          <w:rFonts w:eastAsia="仿宋_GB2312"/>
          <w:sz w:val="32"/>
          <w:szCs w:val="32"/>
        </w:rPr>
      </w:pPr>
      <w:r>
        <w:rPr>
          <w:rFonts w:eastAsia="仿宋_GB2312"/>
          <w:sz w:val="32"/>
          <w:szCs w:val="32"/>
        </w:rPr>
        <w:t>招募说明书草案；</w:t>
      </w:r>
    </w:p>
    <w:p w14:paraId="47AECCD5">
      <w:pPr>
        <w:pStyle w:val="54"/>
        <w:numPr>
          <w:ilvl w:val="1"/>
          <w:numId w:val="3"/>
        </w:numPr>
        <w:spacing w:line="560" w:lineRule="exact"/>
        <w:ind w:left="0" w:firstLine="640"/>
        <w:rPr>
          <w:rFonts w:eastAsia="仿宋_GB2312"/>
          <w:sz w:val="32"/>
          <w:szCs w:val="32"/>
        </w:rPr>
      </w:pPr>
      <w:r>
        <w:rPr>
          <w:rFonts w:eastAsia="仿宋_GB2312"/>
          <w:sz w:val="32"/>
          <w:szCs w:val="32"/>
        </w:rPr>
        <w:t>律师事务所对基金出具的法律意见书；</w:t>
      </w:r>
    </w:p>
    <w:p w14:paraId="0592E9F2">
      <w:pPr>
        <w:pStyle w:val="54"/>
        <w:numPr>
          <w:ilvl w:val="1"/>
          <w:numId w:val="3"/>
        </w:numPr>
        <w:spacing w:line="560" w:lineRule="exact"/>
        <w:ind w:left="0" w:firstLine="640"/>
        <w:rPr>
          <w:rFonts w:eastAsia="仿宋_GB2312"/>
          <w:sz w:val="32"/>
          <w:szCs w:val="32"/>
        </w:rPr>
      </w:pPr>
      <w:r>
        <w:rPr>
          <w:rFonts w:eastAsia="仿宋_GB2312"/>
          <w:sz w:val="32"/>
          <w:szCs w:val="32"/>
        </w:rPr>
        <w:t>基金管理人</w:t>
      </w:r>
      <w:r>
        <w:rPr>
          <w:rFonts w:hint="eastAsia" w:eastAsia="仿宋_GB2312"/>
          <w:sz w:val="32"/>
          <w:szCs w:val="32"/>
        </w:rPr>
        <w:t>以</w:t>
      </w:r>
      <w:r>
        <w:rPr>
          <w:rFonts w:eastAsia="仿宋_GB2312"/>
          <w:sz w:val="32"/>
          <w:szCs w:val="32"/>
        </w:rPr>
        <w:t>及资产支持证券管理人相关说明材料，包括但不限于投资管理、项目运营、风险控制制度和流程，部门设置与人员配备，同类产品与业务管理情况等；</w:t>
      </w:r>
    </w:p>
    <w:p w14:paraId="0B9DF2BF">
      <w:pPr>
        <w:pStyle w:val="54"/>
        <w:numPr>
          <w:ilvl w:val="1"/>
          <w:numId w:val="3"/>
        </w:numPr>
        <w:spacing w:line="560" w:lineRule="exact"/>
        <w:ind w:left="0" w:firstLine="640"/>
        <w:rPr>
          <w:rFonts w:eastAsia="仿宋_GB2312"/>
          <w:sz w:val="32"/>
          <w:szCs w:val="32"/>
        </w:rPr>
      </w:pPr>
      <w:r>
        <w:rPr>
          <w:rFonts w:eastAsia="仿宋_GB2312"/>
          <w:sz w:val="32"/>
          <w:szCs w:val="32"/>
        </w:rPr>
        <w:t>拟投资不动产资产支持证券认购协议；</w:t>
      </w:r>
    </w:p>
    <w:p w14:paraId="2739A573">
      <w:pPr>
        <w:pStyle w:val="54"/>
        <w:numPr>
          <w:ilvl w:val="1"/>
          <w:numId w:val="3"/>
        </w:numPr>
        <w:spacing w:line="560" w:lineRule="exact"/>
        <w:ind w:left="0" w:firstLine="640"/>
        <w:rPr>
          <w:rFonts w:eastAsia="仿宋_GB2312"/>
          <w:sz w:val="32"/>
          <w:szCs w:val="32"/>
        </w:rPr>
      </w:pPr>
      <w:r>
        <w:rPr>
          <w:rFonts w:eastAsia="仿宋_GB2312"/>
          <w:sz w:val="32"/>
          <w:szCs w:val="32"/>
        </w:rPr>
        <w:t>基金管理人与主要参与机构签订的协议文件；</w:t>
      </w:r>
    </w:p>
    <w:p w14:paraId="307D0EB9">
      <w:pPr>
        <w:pStyle w:val="54"/>
        <w:numPr>
          <w:ilvl w:val="1"/>
          <w:numId w:val="3"/>
        </w:numPr>
        <w:spacing w:line="560" w:lineRule="exact"/>
        <w:ind w:left="0" w:firstLine="640"/>
        <w:rPr>
          <w:rFonts w:eastAsia="仿宋_GB2312"/>
          <w:sz w:val="32"/>
          <w:szCs w:val="32"/>
        </w:rPr>
      </w:pPr>
      <w:r>
        <w:rPr>
          <w:rFonts w:hint="eastAsia" w:eastAsia="仿宋_GB2312"/>
          <w:sz w:val="32"/>
          <w:szCs w:val="32"/>
        </w:rPr>
        <w:t>基金管理人尽职调查报告、财务顾问报告（如有）；</w:t>
      </w:r>
    </w:p>
    <w:p w14:paraId="32BA4A4E">
      <w:pPr>
        <w:pStyle w:val="54"/>
        <w:numPr>
          <w:ilvl w:val="1"/>
          <w:numId w:val="3"/>
        </w:numPr>
        <w:spacing w:line="560" w:lineRule="exact"/>
        <w:ind w:left="0" w:firstLine="640"/>
        <w:rPr>
          <w:rFonts w:eastAsia="仿宋_GB2312"/>
          <w:sz w:val="32"/>
          <w:szCs w:val="32"/>
        </w:rPr>
      </w:pPr>
      <w:r>
        <w:rPr>
          <w:rFonts w:hint="eastAsia" w:eastAsia="仿宋_GB2312"/>
          <w:sz w:val="32"/>
          <w:szCs w:val="32"/>
        </w:rPr>
        <w:t>经会计师事务所审阅的基金可供分配金额测算报告；</w:t>
      </w:r>
    </w:p>
    <w:p w14:paraId="3B567F36">
      <w:pPr>
        <w:pStyle w:val="54"/>
        <w:numPr>
          <w:ilvl w:val="1"/>
          <w:numId w:val="3"/>
        </w:numPr>
        <w:spacing w:line="560" w:lineRule="exact"/>
        <w:ind w:left="0" w:firstLine="640"/>
        <w:rPr>
          <w:rFonts w:eastAsia="仿宋_GB2312"/>
          <w:sz w:val="32"/>
          <w:szCs w:val="32"/>
        </w:rPr>
      </w:pPr>
      <w:r>
        <w:rPr>
          <w:rFonts w:eastAsia="仿宋_GB2312"/>
          <w:sz w:val="32"/>
          <w:szCs w:val="32"/>
        </w:rPr>
        <w:t>本所要求的其他材料。</w:t>
      </w:r>
    </w:p>
    <w:p w14:paraId="1E67CC3C">
      <w:pPr>
        <w:spacing w:line="560" w:lineRule="exact"/>
        <w:ind w:firstLine="640" w:firstLineChars="200"/>
        <w:rPr>
          <w:rFonts w:eastAsia="仿宋_GB2312"/>
          <w:sz w:val="32"/>
          <w:szCs w:val="32"/>
        </w:rPr>
      </w:pPr>
      <w:r>
        <w:rPr>
          <w:rFonts w:eastAsia="仿宋_GB2312"/>
          <w:sz w:val="32"/>
          <w:szCs w:val="32"/>
        </w:rPr>
        <w:t>资产支持证券管理人</w:t>
      </w:r>
      <w:r>
        <w:rPr>
          <w:rFonts w:hint="eastAsia" w:eastAsia="仿宋_GB2312"/>
          <w:sz w:val="32"/>
          <w:szCs w:val="32"/>
        </w:rPr>
        <w:t>拟</w:t>
      </w:r>
      <w:r>
        <w:rPr>
          <w:rFonts w:eastAsia="仿宋_GB2312"/>
          <w:sz w:val="32"/>
          <w:szCs w:val="32"/>
        </w:rPr>
        <w:t>申请不动产资产支持证券挂牌</w:t>
      </w:r>
      <w:r>
        <w:rPr>
          <w:rFonts w:hint="eastAsia" w:eastAsia="仿宋_GB2312"/>
          <w:sz w:val="32"/>
          <w:szCs w:val="32"/>
        </w:rPr>
        <w:t>的</w:t>
      </w:r>
      <w:r>
        <w:rPr>
          <w:rFonts w:eastAsia="仿宋_GB2312"/>
          <w:sz w:val="32"/>
          <w:szCs w:val="32"/>
        </w:rPr>
        <w:t>，应当向本所提交</w:t>
      </w:r>
      <w:r>
        <w:rPr>
          <w:rFonts w:hint="eastAsia" w:eastAsia="仿宋_GB2312"/>
          <w:sz w:val="32"/>
          <w:szCs w:val="32"/>
        </w:rPr>
        <w:t>下列</w:t>
      </w:r>
      <w:r>
        <w:rPr>
          <w:rFonts w:eastAsia="仿宋_GB2312"/>
          <w:sz w:val="32"/>
          <w:szCs w:val="32"/>
        </w:rPr>
        <w:t>文件：</w:t>
      </w:r>
    </w:p>
    <w:p w14:paraId="58C98302">
      <w:pPr>
        <w:pStyle w:val="54"/>
        <w:numPr>
          <w:ilvl w:val="0"/>
          <w:numId w:val="4"/>
        </w:numPr>
        <w:spacing w:line="560" w:lineRule="exact"/>
        <w:ind w:left="0" w:firstLine="640"/>
        <w:rPr>
          <w:rFonts w:eastAsia="仿宋_GB2312"/>
          <w:sz w:val="32"/>
          <w:szCs w:val="32"/>
        </w:rPr>
      </w:pPr>
      <w:r>
        <w:rPr>
          <w:rFonts w:eastAsia="仿宋_GB2312"/>
          <w:sz w:val="32"/>
          <w:szCs w:val="32"/>
        </w:rPr>
        <w:t>挂牌申请</w:t>
      </w:r>
      <w:r>
        <w:rPr>
          <w:rFonts w:hint="eastAsia" w:eastAsia="仿宋_GB2312"/>
          <w:sz w:val="32"/>
          <w:szCs w:val="32"/>
        </w:rPr>
        <w:t>书</w:t>
      </w:r>
      <w:r>
        <w:rPr>
          <w:rFonts w:eastAsia="仿宋_GB2312"/>
          <w:sz w:val="32"/>
          <w:szCs w:val="32"/>
        </w:rPr>
        <w:t>；</w:t>
      </w:r>
    </w:p>
    <w:p w14:paraId="2E09C026">
      <w:pPr>
        <w:pStyle w:val="54"/>
        <w:numPr>
          <w:ilvl w:val="0"/>
          <w:numId w:val="4"/>
        </w:numPr>
        <w:spacing w:line="560" w:lineRule="exact"/>
        <w:ind w:left="0" w:firstLine="640"/>
        <w:rPr>
          <w:rFonts w:ascii="仿宋_GB2312" w:eastAsia="仿宋_GB2312"/>
          <w:sz w:val="32"/>
          <w:szCs w:val="32"/>
        </w:rPr>
      </w:pPr>
      <w:r>
        <w:rPr>
          <w:rFonts w:eastAsia="仿宋_GB2312"/>
          <w:sz w:val="32"/>
          <w:szCs w:val="32"/>
        </w:rPr>
        <w:t>资产支持专项计划（以下简称专项计划）说</w:t>
      </w:r>
      <w:r>
        <w:rPr>
          <w:rFonts w:hint="eastAsia" w:ascii="仿宋_GB2312" w:eastAsia="仿宋_GB2312"/>
          <w:sz w:val="32"/>
          <w:szCs w:val="32"/>
        </w:rPr>
        <w:t>明书、标准条款（如有）；</w:t>
      </w:r>
    </w:p>
    <w:p w14:paraId="43D77E8C">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基础资产买卖协议、托管协议、监管协议（如有）、资产服务协议（如有）等主要交易合同文本；</w:t>
      </w:r>
    </w:p>
    <w:p w14:paraId="71F7ECF6">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律师事务所对专项计划出具的法律意见书；</w:t>
      </w:r>
    </w:p>
    <w:p w14:paraId="567A6F15">
      <w:pPr>
        <w:pStyle w:val="54"/>
        <w:numPr>
          <w:ilvl w:val="0"/>
          <w:numId w:val="4"/>
        </w:numPr>
        <w:spacing w:line="560" w:lineRule="exact"/>
        <w:ind w:left="0" w:firstLine="640"/>
        <w:rPr>
          <w:rFonts w:ascii="仿宋_GB2312" w:eastAsia="仿宋_GB2312"/>
          <w:color w:val="FF0000"/>
          <w:sz w:val="32"/>
          <w:szCs w:val="32"/>
        </w:rPr>
      </w:pPr>
      <w:r>
        <w:rPr>
          <w:rFonts w:hint="eastAsia" w:ascii="仿宋_GB2312" w:eastAsia="仿宋_GB2312"/>
          <w:sz w:val="32"/>
          <w:szCs w:val="32"/>
        </w:rPr>
        <w:t>不动产项目最近</w:t>
      </w:r>
      <w:r>
        <w:rPr>
          <w:rFonts w:eastAsia="仿宋_GB2312"/>
          <w:sz w:val="32"/>
          <w:szCs w:val="32"/>
        </w:rPr>
        <w:t>3年及一期的财务报告</w:t>
      </w:r>
      <w:r>
        <w:rPr>
          <w:rFonts w:hint="eastAsia" w:eastAsia="仿宋_GB2312"/>
          <w:sz w:val="32"/>
          <w:szCs w:val="32"/>
        </w:rPr>
        <w:t>以</w:t>
      </w:r>
      <w:r>
        <w:rPr>
          <w:rFonts w:eastAsia="仿宋_GB2312"/>
          <w:sz w:val="32"/>
          <w:szCs w:val="32"/>
        </w:rPr>
        <w:t>及审计报告，如无法提供，应当提供最近1年及一期的财务报告</w:t>
      </w:r>
      <w:r>
        <w:rPr>
          <w:rFonts w:hint="eastAsia" w:eastAsia="仿宋_GB2312"/>
          <w:sz w:val="32"/>
          <w:szCs w:val="32"/>
        </w:rPr>
        <w:t>以</w:t>
      </w:r>
      <w:r>
        <w:rPr>
          <w:rFonts w:eastAsia="仿宋_GB2312"/>
          <w:sz w:val="32"/>
          <w:szCs w:val="32"/>
        </w:rPr>
        <w:t>及审计报告，相关材料仍无法提供的，应当至少提供最近3</w:t>
      </w:r>
      <w:r>
        <w:rPr>
          <w:rFonts w:hint="eastAsia" w:ascii="仿宋_GB2312" w:eastAsia="仿宋_GB2312"/>
          <w:sz w:val="32"/>
          <w:szCs w:val="32"/>
        </w:rPr>
        <w:t>年及一期经审计的备考财务报表；</w:t>
      </w:r>
    </w:p>
    <w:p w14:paraId="10F7DB2B">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不动产项目评估报告；</w:t>
      </w:r>
    </w:p>
    <w:p w14:paraId="43DF6617">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资产支持证券管理人尽职调查报告；</w:t>
      </w:r>
    </w:p>
    <w:p w14:paraId="73E08F29">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资产支持证券管理人合规审查意见；</w:t>
      </w:r>
    </w:p>
    <w:p w14:paraId="36000487">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原始权益人最近</w:t>
      </w:r>
      <w:r>
        <w:rPr>
          <w:rFonts w:eastAsia="仿宋_GB2312"/>
          <w:sz w:val="32"/>
          <w:szCs w:val="32"/>
        </w:rPr>
        <w:t>3年（未满3</w:t>
      </w:r>
      <w:r>
        <w:rPr>
          <w:rFonts w:hint="eastAsia" w:ascii="仿宋_GB2312" w:eastAsia="仿宋_GB2312"/>
          <w:sz w:val="32"/>
          <w:szCs w:val="32"/>
        </w:rPr>
        <w:t>年的自成立之日起）的财务报告和审计报告、最近一期财务报告或者财务报表（注明是否经审计），原始权益人为上市公司的除外；</w:t>
      </w:r>
    </w:p>
    <w:p w14:paraId="6CE4ADA6">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法律法规或者原始权益人公司章程规定的有权机构作出的关于开展资产证券化融资相关事宜的决议；</w:t>
      </w:r>
    </w:p>
    <w:p w14:paraId="528CB7A1">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本所要求的其他材料。</w:t>
      </w:r>
    </w:p>
    <w:p w14:paraId="1DBDD31F">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第十三条 </w:t>
      </w:r>
      <w:r>
        <w:rPr>
          <w:rFonts w:hint="eastAsia" w:ascii="仿宋_GB2312" w:eastAsia="仿宋_GB2312"/>
          <w:sz w:val="32"/>
          <w:szCs w:val="32"/>
        </w:rPr>
        <w:t>申请文件的内容应当真实、准确、完整，简明清晰、通俗易懂。</w:t>
      </w:r>
    </w:p>
    <w:p w14:paraId="7D1B4255">
      <w:pPr>
        <w:pStyle w:val="54"/>
        <w:spacing w:line="560" w:lineRule="exact"/>
        <w:ind w:firstLine="640"/>
        <w:rPr>
          <w:rFonts w:ascii="仿宋_GB2312" w:eastAsia="仿宋_GB2312"/>
          <w:sz w:val="32"/>
          <w:szCs w:val="32"/>
        </w:rPr>
      </w:pPr>
      <w:r>
        <w:rPr>
          <w:rFonts w:hint="eastAsia" w:ascii="仿宋_GB2312" w:eastAsia="仿宋_GB2312"/>
          <w:sz w:val="32"/>
          <w:szCs w:val="32"/>
        </w:rPr>
        <w:t>自提交申请文件之日起，基金管理人、资产支持证券管理人等业务参与机构及其人员，以及为不动产基金提供服务的专业机构及其人员即须承担相应的法律责任。</w:t>
      </w:r>
    </w:p>
    <w:p w14:paraId="4C9D5D20">
      <w:pPr>
        <w:pStyle w:val="54"/>
        <w:spacing w:line="560" w:lineRule="exact"/>
        <w:ind w:firstLine="640"/>
        <w:rPr>
          <w:rFonts w:ascii="仿宋_GB2312" w:eastAsia="仿宋_GB2312"/>
          <w:sz w:val="32"/>
          <w:szCs w:val="32"/>
        </w:rPr>
      </w:pPr>
      <w:r>
        <w:rPr>
          <w:rFonts w:hint="eastAsia" w:ascii="仿宋_GB2312" w:eastAsia="仿宋_GB2312"/>
          <w:sz w:val="32"/>
          <w:szCs w:val="32"/>
        </w:rPr>
        <w:t>未经本所同意，不得对申请文件进行修改。</w:t>
      </w:r>
    </w:p>
    <w:p w14:paraId="5AB5AE06">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第十四条 </w:t>
      </w:r>
      <w:r>
        <w:rPr>
          <w:rFonts w:hint="eastAsia" w:ascii="仿宋_GB2312" w:eastAsia="仿宋_GB2312"/>
          <w:sz w:val="32"/>
          <w:szCs w:val="32"/>
        </w:rPr>
        <w:t>本所比照公开发行证券要求建立不动产资产支持证券挂牌</w:t>
      </w:r>
      <w:r>
        <w:rPr>
          <w:rFonts w:hint="eastAsia" w:eastAsia="仿宋_GB2312"/>
          <w:sz w:val="32"/>
          <w:szCs w:val="32"/>
        </w:rPr>
        <w:t>以</w:t>
      </w:r>
      <w:r>
        <w:rPr>
          <w:rFonts w:hint="eastAsia" w:ascii="仿宋_GB2312" w:eastAsia="仿宋_GB2312"/>
          <w:sz w:val="32"/>
          <w:szCs w:val="32"/>
        </w:rPr>
        <w:t>及基金上市审查制度。相关工作流程信息对外披露，接受社会监督。</w:t>
      </w:r>
    </w:p>
    <w:p w14:paraId="415BC0DC">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第十五条 </w:t>
      </w:r>
      <w:r>
        <w:rPr>
          <w:rFonts w:hint="eastAsia" w:ascii="仿宋_GB2312" w:eastAsia="仿宋_GB2312"/>
          <w:sz w:val="32"/>
          <w:szCs w:val="32"/>
        </w:rPr>
        <w:t>本所接收申请文件后，在</w:t>
      </w:r>
      <w:r>
        <w:rPr>
          <w:rFonts w:hint="eastAsia" w:eastAsia="仿宋_GB2312"/>
          <w:sz w:val="32"/>
          <w:szCs w:val="32"/>
        </w:rPr>
        <w:t>5</w:t>
      </w:r>
      <w:r>
        <w:rPr>
          <w:rFonts w:hint="eastAsia" w:ascii="仿宋_GB2312" w:eastAsia="仿宋_GB2312"/>
          <w:sz w:val="32"/>
          <w:szCs w:val="32"/>
        </w:rPr>
        <w:t>个工作日内对申请文件是否齐备和符合形式要求进行形式审核。文件齐备的，予以受理；文件不齐备或者不符合形式要求的，一次性告知补正。</w:t>
      </w:r>
    </w:p>
    <w:p w14:paraId="455AB520">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第十六条 </w:t>
      </w:r>
      <w:r>
        <w:rPr>
          <w:rFonts w:hint="eastAsia" w:ascii="仿宋_GB2312" w:eastAsia="仿宋_GB2312"/>
          <w:sz w:val="32"/>
          <w:szCs w:val="32"/>
        </w:rPr>
        <w:t>本所受理申请后确定审核人员对申请材料进行审核。本所自受理之日起</w:t>
      </w:r>
      <w:r>
        <w:rPr>
          <w:rFonts w:hint="eastAsia" w:eastAsia="仿宋_GB2312"/>
          <w:sz w:val="32"/>
          <w:szCs w:val="32"/>
        </w:rPr>
        <w:t>20</w:t>
      </w:r>
      <w:r>
        <w:rPr>
          <w:rFonts w:hint="eastAsia" w:ascii="仿宋_GB2312" w:eastAsia="仿宋_GB2312"/>
          <w:sz w:val="32"/>
          <w:szCs w:val="32"/>
        </w:rPr>
        <w:t>个工作日内出具首次书面反馈意见；无需出具反馈意见的，应当通知基金管理人、资产支持证券管理人。</w:t>
      </w:r>
    </w:p>
    <w:p w14:paraId="795FB406">
      <w:pPr>
        <w:spacing w:line="560" w:lineRule="exact"/>
        <w:ind w:firstLine="640" w:firstLineChars="200"/>
        <w:rPr>
          <w:rFonts w:ascii="仿宋_GB2312" w:eastAsia="仿宋_GB2312"/>
          <w:sz w:val="32"/>
          <w:szCs w:val="32"/>
        </w:rPr>
      </w:pPr>
      <w:r>
        <w:rPr>
          <w:rFonts w:hint="eastAsia" w:ascii="仿宋_GB2312" w:eastAsia="仿宋_GB2312"/>
          <w:sz w:val="32"/>
          <w:szCs w:val="32"/>
        </w:rPr>
        <w:t>基金管理人、资产支持证券管理人应当在收到本所书面反馈意见后</w:t>
      </w:r>
      <w:r>
        <w:rPr>
          <w:rFonts w:hint="eastAsia" w:eastAsia="仿宋_GB2312"/>
          <w:sz w:val="32"/>
          <w:szCs w:val="32"/>
        </w:rPr>
        <w:t>30</w:t>
      </w:r>
      <w:r>
        <w:rPr>
          <w:rFonts w:hint="eastAsia" w:ascii="仿宋_GB2312" w:eastAsia="仿宋_GB2312"/>
          <w:sz w:val="32"/>
          <w:szCs w:val="32"/>
        </w:rPr>
        <w:t>个工作日内予以书面回复。基金管理人、资产支持证券管理人不能在规定期限内予以回复的，应当向本所提出延期回复申请，并说明理由和拟回复时间，延期时间不得超过</w:t>
      </w:r>
      <w:r>
        <w:rPr>
          <w:rFonts w:hint="eastAsia" w:eastAsia="仿宋_GB2312"/>
          <w:sz w:val="32"/>
          <w:szCs w:val="32"/>
        </w:rPr>
        <w:t>30</w:t>
      </w:r>
      <w:r>
        <w:rPr>
          <w:rFonts w:hint="eastAsia" w:ascii="仿宋_GB2312" w:eastAsia="仿宋_GB2312"/>
          <w:sz w:val="32"/>
          <w:szCs w:val="32"/>
        </w:rPr>
        <w:t>个工作日。</w:t>
      </w:r>
    </w:p>
    <w:p w14:paraId="78AF4879">
      <w:pPr>
        <w:spacing w:line="560" w:lineRule="exact"/>
        <w:ind w:firstLine="640" w:firstLineChars="200"/>
        <w:rPr>
          <w:rFonts w:ascii="仿宋_GB2312" w:eastAsia="仿宋_GB2312"/>
          <w:sz w:val="32"/>
          <w:szCs w:val="32"/>
        </w:rPr>
      </w:pPr>
      <w:bookmarkStart w:id="0" w:name="_Hlk208404253"/>
      <w:r>
        <w:rPr>
          <w:rFonts w:hint="eastAsia" w:ascii="仿宋_GB2312" w:eastAsia="仿宋_GB2312"/>
          <w:sz w:val="32"/>
          <w:szCs w:val="32"/>
        </w:rPr>
        <w:t>本所对回复意见文件进行审核，不符合要求的，可以再次出具反馈意见；不需要基金管理人和资产支持证券管理人进一步落实或者反馈的，按照程序进行评议。</w:t>
      </w:r>
    </w:p>
    <w:bookmarkEnd w:id="0"/>
    <w:p w14:paraId="5E576628">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第十七条 </w:t>
      </w:r>
      <w:r>
        <w:rPr>
          <w:rFonts w:hint="eastAsia" w:eastAsia="仿宋_GB2312"/>
          <w:sz w:val="32"/>
          <w:szCs w:val="32"/>
        </w:rPr>
        <w:t>本所在不动产基金上市和不动产资产支持证券挂牌审核中，可以根据需要约见问询基金管理人、资产支持证券管理人、财务顾问、原始权益人、专业机构及其相关人员，调阅与不动产基金上市、不动产资产支持证券挂牌相关的工作底稿等资料。</w:t>
      </w:r>
    </w:p>
    <w:p w14:paraId="0496D13A">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本所在审核中发现申请文件存在重大疑问且基金管理人、资产支持证券管理人、财务顾问、原始权益人、专业机构无法作出合理解释的，可以对基金管理人、资产支持证券管理人、财务顾问、原始权益人和专业机构进行现场检查，或者对基金管理人、资产支持证券管理人、财务顾问和相关专业机构进行现场督导。</w:t>
      </w:r>
    </w:p>
    <w:p w14:paraId="0DA938E5">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基金管理人、资产支持证券管理人、财务顾问（如有）、原始权益人、专业机构及其相关人员应当积极配合现场检查以及现场督导工作，并保证所提供文件资料以及陈述内容的真实、准确、完整。</w:t>
      </w:r>
    </w:p>
    <w:p w14:paraId="4F690F13">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第十八条 </w:t>
      </w:r>
      <w:r>
        <w:rPr>
          <w:rFonts w:hint="eastAsia" w:ascii="仿宋_GB2312" w:eastAsia="仿宋_GB2312"/>
          <w:sz w:val="32"/>
          <w:szCs w:val="32"/>
        </w:rPr>
        <w:t>本所根据评议结果出具对不动产基金上市和不动产资产支持证券挂牌的无异议函或者作出终止审核的决定，并通知基金管理人</w:t>
      </w:r>
      <w:r>
        <w:rPr>
          <w:rFonts w:eastAsia="仿宋_GB2312"/>
          <w:sz w:val="32"/>
          <w:szCs w:val="32"/>
        </w:rPr>
        <w:t>和资产支持证券管理人。</w:t>
      </w:r>
    </w:p>
    <w:p w14:paraId="07200579">
      <w:pPr>
        <w:pStyle w:val="54"/>
        <w:numPr>
          <w:ilvl w:val="0"/>
          <w:numId w:val="0"/>
        </w:numPr>
        <w:spacing w:line="560" w:lineRule="exact"/>
        <w:ind w:left="0" w:leftChars="0" w:firstLine="643" w:firstLineChars="200"/>
        <w:rPr>
          <w:rFonts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第十九条 </w:t>
      </w:r>
      <w:r>
        <w:rPr>
          <w:rFonts w:eastAsia="仿宋_GB2312"/>
          <w:sz w:val="32"/>
          <w:szCs w:val="32"/>
        </w:rPr>
        <w:t>本所</w:t>
      </w:r>
      <w:r>
        <w:rPr>
          <w:rFonts w:hint="eastAsia" w:eastAsia="仿宋_GB2312"/>
          <w:sz w:val="32"/>
          <w:szCs w:val="32"/>
        </w:rPr>
        <w:t>受理申请文件</w:t>
      </w:r>
      <w:r>
        <w:rPr>
          <w:rFonts w:eastAsia="仿宋_GB2312"/>
          <w:sz w:val="32"/>
          <w:szCs w:val="32"/>
        </w:rPr>
        <w:t>后至不动产基金上市</w:t>
      </w:r>
      <w:r>
        <w:rPr>
          <w:rFonts w:hint="eastAsia" w:eastAsia="仿宋_GB2312"/>
          <w:sz w:val="32"/>
          <w:szCs w:val="32"/>
        </w:rPr>
        <w:t>和不动产资产支持证券挂牌</w:t>
      </w:r>
      <w:r>
        <w:rPr>
          <w:rFonts w:eastAsia="仿宋_GB2312"/>
          <w:sz w:val="32"/>
          <w:szCs w:val="32"/>
        </w:rPr>
        <w:t>前，发生可能</w:t>
      </w:r>
      <w:r>
        <w:rPr>
          <w:rFonts w:hint="eastAsia" w:eastAsia="仿宋_GB2312"/>
          <w:sz w:val="32"/>
          <w:szCs w:val="32"/>
        </w:rPr>
        <w:t>影响投资者作出</w:t>
      </w:r>
      <w:r>
        <w:rPr>
          <w:rFonts w:eastAsia="仿宋_GB2312"/>
          <w:sz w:val="32"/>
          <w:szCs w:val="32"/>
        </w:rPr>
        <w:t>价值</w:t>
      </w:r>
      <w:r>
        <w:rPr>
          <w:rFonts w:hint="eastAsia" w:eastAsia="仿宋_GB2312"/>
          <w:sz w:val="32"/>
          <w:szCs w:val="32"/>
        </w:rPr>
        <w:t>判断以</w:t>
      </w:r>
      <w:r>
        <w:rPr>
          <w:rFonts w:eastAsia="仿宋_GB2312"/>
          <w:sz w:val="32"/>
          <w:szCs w:val="32"/>
        </w:rPr>
        <w:t>及投资决策</w:t>
      </w:r>
      <w:r>
        <w:rPr>
          <w:rFonts w:hint="eastAsia" w:eastAsia="仿宋_GB2312"/>
          <w:sz w:val="32"/>
          <w:szCs w:val="32"/>
        </w:rPr>
        <w:t>，或者可能影响本次上市和挂牌的重大</w:t>
      </w:r>
      <w:r>
        <w:rPr>
          <w:rFonts w:eastAsia="仿宋_GB2312"/>
          <w:sz w:val="32"/>
          <w:szCs w:val="32"/>
        </w:rPr>
        <w:t>事项的，基金管理人、资产支持证券管理人等</w:t>
      </w:r>
      <w:r>
        <w:rPr>
          <w:rFonts w:hint="eastAsia" w:eastAsia="仿宋_GB2312"/>
          <w:sz w:val="32"/>
          <w:szCs w:val="32"/>
        </w:rPr>
        <w:t>有</w:t>
      </w:r>
      <w:r>
        <w:rPr>
          <w:rFonts w:eastAsia="仿宋_GB2312"/>
          <w:sz w:val="32"/>
          <w:szCs w:val="32"/>
        </w:rPr>
        <w:t>关业务参与机构应当及时向本所报告，必要时应当聘请专业机构进行核查</w:t>
      </w:r>
      <w:r>
        <w:rPr>
          <w:rFonts w:hint="eastAsia" w:eastAsia="仿宋_GB2312"/>
          <w:sz w:val="32"/>
          <w:szCs w:val="32"/>
        </w:rPr>
        <w:t>。</w:t>
      </w:r>
      <w:r>
        <w:rPr>
          <w:rFonts w:eastAsia="仿宋_GB2312"/>
          <w:sz w:val="32"/>
          <w:szCs w:val="32"/>
        </w:rPr>
        <w:t>本所</w:t>
      </w:r>
      <w:r>
        <w:rPr>
          <w:rFonts w:hint="eastAsia" w:eastAsia="仿宋_GB2312"/>
          <w:sz w:val="32"/>
          <w:szCs w:val="32"/>
        </w:rPr>
        <w:t>按照有</w:t>
      </w:r>
      <w:r>
        <w:rPr>
          <w:rFonts w:eastAsia="仿宋_GB2312"/>
          <w:sz w:val="32"/>
          <w:szCs w:val="32"/>
        </w:rPr>
        <w:t>关程序处理，并视情况向中国证监会报告。</w:t>
      </w:r>
    </w:p>
    <w:p w14:paraId="19AF5F11">
      <w:pPr>
        <w:pStyle w:val="54"/>
        <w:numPr>
          <w:ilvl w:val="0"/>
          <w:numId w:val="0"/>
        </w:numPr>
        <w:spacing w:line="560" w:lineRule="exact"/>
        <w:ind w:left="0" w:leftChars="0" w:firstLine="198" w:firstLineChars="0"/>
        <w:jc w:val="center"/>
        <w:rPr>
          <w:rFonts w:eastAsia="黑体"/>
          <w:bCs/>
          <w:sz w:val="32"/>
          <w:szCs w:val="32"/>
        </w:rPr>
      </w:pPr>
      <w:r>
        <w:rPr>
          <w:rFonts w:hint="eastAsia" w:ascii="Times New Roman" w:hAnsi="Times New Roman" w:eastAsia="黑体" w:cs="Times New Roman"/>
          <w:b w:val="0"/>
          <w:bCs/>
          <w:kern w:val="2"/>
          <w:sz w:val="32"/>
          <w:szCs w:val="32"/>
          <w:lang w:val="en-US" w:eastAsia="zh-CN" w:bidi="ar-SA"/>
        </w:rPr>
        <w:t>第三章</w:t>
      </w:r>
      <w:r>
        <w:rPr>
          <w:rFonts w:hint="eastAsia" w:eastAsia="黑体" w:cs="Times New Roman"/>
          <w:b w:val="0"/>
          <w:bCs/>
          <w:kern w:val="2"/>
          <w:sz w:val="32"/>
          <w:szCs w:val="32"/>
          <w:lang w:val="en-US" w:eastAsia="zh-CN" w:bidi="ar-SA"/>
        </w:rPr>
        <w:t xml:space="preserve"> </w:t>
      </w:r>
      <w:r>
        <w:rPr>
          <w:rFonts w:hint="eastAsia" w:hAnsi="黑体" w:eastAsia="黑体"/>
          <w:bCs/>
          <w:sz w:val="32"/>
          <w:szCs w:val="32"/>
        </w:rPr>
        <w:t>发售、上市与交易</w:t>
      </w:r>
    </w:p>
    <w:p w14:paraId="5BF4570C">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第二十条 </w:t>
      </w:r>
      <w:r>
        <w:rPr>
          <w:rFonts w:eastAsia="仿宋_GB2312"/>
          <w:sz w:val="32"/>
          <w:szCs w:val="32"/>
        </w:rPr>
        <w:t>不动产基金份额的</w:t>
      </w:r>
      <w:r>
        <w:rPr>
          <w:rFonts w:hint="eastAsia" w:eastAsia="仿宋_GB2312"/>
          <w:sz w:val="32"/>
          <w:szCs w:val="32"/>
        </w:rPr>
        <w:t>发售</w:t>
      </w:r>
      <w:r>
        <w:rPr>
          <w:rFonts w:eastAsia="仿宋_GB2312"/>
          <w:sz w:val="32"/>
          <w:szCs w:val="32"/>
        </w:rPr>
        <w:t>，分为战略配售、网</w:t>
      </w:r>
      <w:r>
        <w:rPr>
          <w:rFonts w:hint="eastAsia" w:ascii="仿宋_GB2312" w:eastAsia="仿宋_GB2312"/>
          <w:sz w:val="32"/>
          <w:szCs w:val="32"/>
        </w:rPr>
        <w:t>下询价并定价、网下配售、公众投资者认购等活动。</w:t>
      </w:r>
    </w:p>
    <w:p w14:paraId="1D7BB788">
      <w:pPr>
        <w:spacing w:line="560" w:lineRule="exact"/>
        <w:ind w:firstLine="640" w:firstLineChars="200"/>
        <w:rPr>
          <w:rFonts w:ascii="仿宋_GB2312" w:eastAsia="仿宋_GB2312"/>
          <w:sz w:val="32"/>
          <w:szCs w:val="32"/>
        </w:rPr>
      </w:pPr>
      <w:r>
        <w:rPr>
          <w:rFonts w:hint="eastAsia" w:ascii="仿宋_GB2312" w:eastAsia="仿宋_GB2312"/>
          <w:sz w:val="32"/>
          <w:szCs w:val="32"/>
        </w:rPr>
        <w:t>基金管理人</w:t>
      </w:r>
      <w:r>
        <w:rPr>
          <w:rFonts w:hint="eastAsia" w:eastAsia="仿宋_GB2312"/>
          <w:sz w:val="32"/>
          <w:szCs w:val="32"/>
        </w:rPr>
        <w:t>及其聘请的财务顾问</w:t>
      </w:r>
      <w:r>
        <w:rPr>
          <w:rFonts w:hint="eastAsia" w:ascii="仿宋_GB2312" w:eastAsia="仿宋_GB2312"/>
          <w:sz w:val="32"/>
          <w:szCs w:val="32"/>
        </w:rPr>
        <w:t>应当按照法律法规办理不动产基金份额发售的相关业务活动。</w:t>
      </w:r>
    </w:p>
    <w:p w14:paraId="50FCC651">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第二十一条 </w:t>
      </w:r>
      <w:r>
        <w:rPr>
          <w:rFonts w:hint="eastAsia" w:ascii="仿宋_GB2312" w:eastAsia="仿宋_GB2312"/>
          <w:sz w:val="32"/>
          <w:szCs w:val="32"/>
        </w:rPr>
        <w:t>参与基金份额战略配售的投资者（以下简称战略投资者）应当满足《基金指引》《商业不动产基金公告》等规定的要求</w:t>
      </w:r>
      <w:bookmarkStart w:id="1" w:name="_GoBack"/>
      <w:bookmarkEnd w:id="1"/>
      <w:r>
        <w:rPr>
          <w:rFonts w:hint="eastAsia" w:ascii="仿宋_GB2312" w:eastAsia="仿宋_GB2312"/>
          <w:sz w:val="32"/>
          <w:szCs w:val="32"/>
        </w:rPr>
        <w:t>，不得接受他人委托或者委托他人参与，但依法设立并符合特定投资目的的证券投资基金、公募理财产品和其他资产管理产品，以及全国社会保障基金、基本养老保险基金、年金基金等除外。</w:t>
      </w:r>
    </w:p>
    <w:p w14:paraId="7171E12F">
      <w:pPr>
        <w:spacing w:line="560" w:lineRule="exact"/>
        <w:ind w:firstLine="640" w:firstLineChars="200"/>
        <w:rPr>
          <w:rFonts w:ascii="仿宋_GB2312" w:eastAsia="仿宋_GB2312"/>
          <w:sz w:val="32"/>
          <w:szCs w:val="32"/>
        </w:rPr>
      </w:pPr>
      <w:r>
        <w:rPr>
          <w:rFonts w:hint="eastAsia" w:ascii="仿宋_GB2312" w:eastAsia="仿宋_GB2312"/>
          <w:sz w:val="32"/>
          <w:szCs w:val="32"/>
        </w:rPr>
        <w:t>不动产项目原始权益人或者其同一控制下的关联方参与不动产基金份额战略配售的比例合计不得低于本次基金份额发售总量的</w:t>
      </w:r>
      <w:r>
        <w:rPr>
          <w:rFonts w:hint="eastAsia" w:eastAsia="仿宋_GB2312"/>
          <w:sz w:val="32"/>
          <w:szCs w:val="32"/>
        </w:rPr>
        <w:t>20%</w:t>
      </w:r>
      <w:r>
        <w:rPr>
          <w:rFonts w:hint="eastAsia" w:ascii="仿宋_GB2312" w:eastAsia="仿宋_GB2312"/>
          <w:sz w:val="32"/>
          <w:szCs w:val="32"/>
        </w:rPr>
        <w:t>，其中基金份额发售总量的</w:t>
      </w:r>
      <w:r>
        <w:rPr>
          <w:rFonts w:hint="eastAsia" w:eastAsia="仿宋_GB2312"/>
          <w:sz w:val="32"/>
          <w:szCs w:val="32"/>
        </w:rPr>
        <w:t>20%</w:t>
      </w:r>
      <w:r>
        <w:rPr>
          <w:rFonts w:hint="eastAsia" w:ascii="仿宋_GB2312" w:eastAsia="仿宋_GB2312"/>
          <w:sz w:val="32"/>
          <w:szCs w:val="32"/>
        </w:rPr>
        <w:t>持有期自上市之日起不少于</w:t>
      </w:r>
      <w:r>
        <w:rPr>
          <w:rFonts w:hint="eastAsia" w:eastAsia="仿宋_GB2312"/>
          <w:sz w:val="32"/>
          <w:szCs w:val="32"/>
        </w:rPr>
        <w:t>60</w:t>
      </w:r>
      <w:r>
        <w:rPr>
          <w:rFonts w:hint="eastAsia" w:ascii="仿宋_GB2312" w:eastAsia="仿宋_GB2312"/>
          <w:sz w:val="32"/>
          <w:szCs w:val="32"/>
        </w:rPr>
        <w:t>个月，超过</w:t>
      </w:r>
      <w:r>
        <w:rPr>
          <w:rFonts w:hint="eastAsia" w:eastAsia="仿宋_GB2312"/>
          <w:sz w:val="32"/>
          <w:szCs w:val="32"/>
        </w:rPr>
        <w:t>20%</w:t>
      </w:r>
      <w:r>
        <w:rPr>
          <w:rFonts w:hint="eastAsia" w:ascii="仿宋_GB2312" w:eastAsia="仿宋_GB2312"/>
          <w:sz w:val="32"/>
          <w:szCs w:val="32"/>
        </w:rPr>
        <w:t>部分持有期自上市之日起不少于</w:t>
      </w:r>
      <w:r>
        <w:rPr>
          <w:rFonts w:hint="eastAsia" w:eastAsia="仿宋_GB2312"/>
          <w:sz w:val="32"/>
          <w:szCs w:val="32"/>
        </w:rPr>
        <w:t>36</w:t>
      </w:r>
      <w:r>
        <w:rPr>
          <w:rFonts w:hint="eastAsia" w:ascii="仿宋_GB2312" w:eastAsia="仿宋_GB2312"/>
          <w:sz w:val="32"/>
          <w:szCs w:val="32"/>
        </w:rPr>
        <w:t>个月，基金份额持有期间不允许质押。</w:t>
      </w:r>
    </w:p>
    <w:p w14:paraId="72A04A90">
      <w:pPr>
        <w:spacing w:line="560" w:lineRule="exact"/>
        <w:ind w:firstLine="640" w:firstLineChars="200"/>
        <w:rPr>
          <w:rFonts w:ascii="仿宋_GB2312" w:eastAsia="仿宋_GB2312"/>
          <w:sz w:val="32"/>
          <w:szCs w:val="32"/>
        </w:rPr>
      </w:pPr>
      <w:r>
        <w:rPr>
          <w:rFonts w:hint="eastAsia" w:ascii="仿宋_GB2312" w:eastAsia="仿宋_GB2312"/>
          <w:sz w:val="32"/>
          <w:szCs w:val="32"/>
        </w:rPr>
        <w:t>不动产项目控股股东、实际控制人或者其同一控制下的关联方，原则上还应当单独适用本条第二款的规定。</w:t>
      </w:r>
    </w:p>
    <w:p w14:paraId="4AABB9D6">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第二十二条 </w:t>
      </w:r>
      <w:r>
        <w:rPr>
          <w:rFonts w:hint="eastAsia" w:ascii="仿宋_GB2312" w:eastAsia="仿宋_GB2312"/>
          <w:sz w:val="32"/>
          <w:szCs w:val="32"/>
        </w:rPr>
        <w:t>不动产基金首次发售的，基金管理人及</w:t>
      </w:r>
      <w:r>
        <w:rPr>
          <w:rFonts w:hint="eastAsia" w:eastAsia="仿宋_GB2312"/>
          <w:sz w:val="32"/>
          <w:szCs w:val="32"/>
        </w:rPr>
        <w:t>其聘请的</w:t>
      </w:r>
      <w:r>
        <w:rPr>
          <w:rFonts w:hint="eastAsia" w:ascii="仿宋_GB2312" w:eastAsia="仿宋_GB2312"/>
          <w:sz w:val="32"/>
          <w:szCs w:val="32"/>
        </w:rPr>
        <w:t>财务顾问应当通过向网下投资者询价的方式确定不动产基金份额认购价格。</w:t>
      </w:r>
    </w:p>
    <w:p w14:paraId="29C9C53D">
      <w:pPr>
        <w:spacing w:line="560" w:lineRule="exact"/>
        <w:ind w:firstLine="640" w:firstLineChars="200"/>
        <w:rPr>
          <w:rFonts w:ascii="仿宋_GB2312" w:eastAsia="仿宋_GB2312"/>
          <w:sz w:val="32"/>
          <w:szCs w:val="32"/>
        </w:rPr>
      </w:pPr>
      <w:r>
        <w:rPr>
          <w:rFonts w:hint="eastAsia" w:ascii="仿宋_GB2312" w:eastAsia="仿宋_GB2312"/>
          <w:sz w:val="32"/>
          <w:szCs w:val="32"/>
        </w:rPr>
        <w:t>本所为不动产基金份额询价提供网下发行电子平台服务。</w:t>
      </w:r>
    </w:p>
    <w:p w14:paraId="6FD97529">
      <w:pPr>
        <w:spacing w:line="560" w:lineRule="exact"/>
        <w:ind w:firstLine="640" w:firstLineChars="200"/>
        <w:rPr>
          <w:rFonts w:ascii="仿宋_GB2312" w:eastAsia="仿宋_GB2312"/>
          <w:sz w:val="32"/>
          <w:szCs w:val="32"/>
        </w:rPr>
      </w:pPr>
      <w:r>
        <w:rPr>
          <w:rFonts w:hint="eastAsia" w:ascii="仿宋_GB2312" w:eastAsia="仿宋_GB2312"/>
          <w:sz w:val="32"/>
          <w:szCs w:val="32"/>
        </w:rPr>
        <w:t>网下投资者以及配售对象的信息以中国证券业协会注册的信息为准。</w:t>
      </w:r>
    </w:p>
    <w:p w14:paraId="2FB0F5D8">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第二十三条 </w:t>
      </w:r>
      <w:r>
        <w:rPr>
          <w:rFonts w:hint="eastAsia" w:ascii="仿宋_GB2312" w:eastAsia="仿宋_GB2312"/>
          <w:sz w:val="32"/>
          <w:szCs w:val="32"/>
        </w:rPr>
        <w:t>网下投资者通过本所网下发行电子平台参与基金份额的网下配售。基金管理人或者财务顾问按照询价确定的认购价格办理网下投资者的网下基金份额的认购和配售。</w:t>
      </w:r>
    </w:p>
    <w:p w14:paraId="383C72FD">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第二十四条 </w:t>
      </w:r>
      <w:r>
        <w:rPr>
          <w:rFonts w:hint="eastAsia" w:ascii="仿宋_GB2312" w:eastAsia="仿宋_GB2312"/>
          <w:sz w:val="32"/>
          <w:szCs w:val="32"/>
        </w:rPr>
        <w:t>公众投资者可以通过场内证券经营机构或者基金管理人及其委托的场外销售机构认购不动产基金份额。</w:t>
      </w:r>
    </w:p>
    <w:p w14:paraId="380AAFF3">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第二十五条 </w:t>
      </w:r>
      <w:r>
        <w:rPr>
          <w:rFonts w:hint="eastAsia" w:ascii="仿宋_GB2312" w:eastAsia="仿宋_GB2312"/>
          <w:sz w:val="32"/>
          <w:szCs w:val="32"/>
        </w:rPr>
        <w:t>不动产基金完成资金募集后，应当按照约定将</w:t>
      </w:r>
      <w:r>
        <w:rPr>
          <w:rFonts w:hint="eastAsia" w:eastAsia="仿宋_GB2312"/>
          <w:sz w:val="32"/>
          <w:szCs w:val="32"/>
        </w:rPr>
        <w:t>80%</w:t>
      </w:r>
      <w:r>
        <w:rPr>
          <w:rFonts w:hint="eastAsia" w:ascii="仿宋_GB2312" w:eastAsia="仿宋_GB2312"/>
          <w:sz w:val="32"/>
          <w:szCs w:val="32"/>
        </w:rPr>
        <w:t>以上基金资产用于投资不动产资产支持证券的全部份额。</w:t>
      </w:r>
    </w:p>
    <w:p w14:paraId="23326C59">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第二十六条 </w:t>
      </w:r>
      <w:r>
        <w:rPr>
          <w:rFonts w:hint="eastAsia" w:ascii="仿宋_GB2312" w:eastAsia="仿宋_GB2312"/>
          <w:sz w:val="32"/>
          <w:szCs w:val="32"/>
        </w:rPr>
        <w:t>不动产基金符合本所《证券投资基金上市规则》规定的上市条件，基金管理人向本所申请基金上市的，应当提交下列文件：</w:t>
      </w:r>
    </w:p>
    <w:p w14:paraId="2AFEF6CB">
      <w:pPr>
        <w:spacing w:line="560" w:lineRule="exact"/>
        <w:ind w:firstLine="640" w:firstLineChars="200"/>
        <w:rPr>
          <w:rFonts w:ascii="仿宋_GB2312" w:eastAsia="仿宋_GB2312"/>
          <w:sz w:val="32"/>
          <w:szCs w:val="32"/>
        </w:rPr>
      </w:pPr>
      <w:r>
        <w:rPr>
          <w:rFonts w:hint="eastAsia" w:ascii="仿宋_GB2312" w:eastAsia="仿宋_GB2312"/>
          <w:sz w:val="32"/>
          <w:szCs w:val="32"/>
        </w:rPr>
        <w:t>（一）本所《证券投资基金上市规则》要求的基金上市申请文件；</w:t>
      </w:r>
    </w:p>
    <w:p w14:paraId="040C25C8">
      <w:pPr>
        <w:spacing w:line="560" w:lineRule="exact"/>
        <w:ind w:firstLine="640" w:firstLineChars="200"/>
        <w:rPr>
          <w:rFonts w:ascii="仿宋_GB2312" w:eastAsia="仿宋_GB2312"/>
          <w:sz w:val="32"/>
          <w:szCs w:val="32"/>
        </w:rPr>
      </w:pPr>
      <w:r>
        <w:rPr>
          <w:rFonts w:hint="eastAsia" w:ascii="仿宋_GB2312" w:eastAsia="仿宋_GB2312"/>
          <w:sz w:val="32"/>
          <w:szCs w:val="32"/>
        </w:rPr>
        <w:t>（二）已生效的不动产基金认购不动产资产支持证券的认购协议；</w:t>
      </w:r>
    </w:p>
    <w:p w14:paraId="1D45F1B6">
      <w:pPr>
        <w:spacing w:line="560" w:lineRule="exact"/>
        <w:ind w:firstLine="640" w:firstLineChars="200"/>
        <w:rPr>
          <w:rFonts w:ascii="仿宋_GB2312" w:eastAsia="仿宋_GB2312"/>
          <w:sz w:val="32"/>
          <w:szCs w:val="32"/>
        </w:rPr>
      </w:pPr>
      <w:r>
        <w:rPr>
          <w:rFonts w:hint="eastAsia" w:ascii="仿宋_GB2312" w:eastAsia="仿宋_GB2312"/>
          <w:sz w:val="32"/>
          <w:szCs w:val="32"/>
        </w:rPr>
        <w:t>（三）不动产基金所投资专项计划的成立公告；</w:t>
      </w:r>
    </w:p>
    <w:p w14:paraId="48442F7D">
      <w:pPr>
        <w:spacing w:line="560" w:lineRule="exact"/>
        <w:ind w:firstLine="640" w:firstLineChars="200"/>
        <w:rPr>
          <w:rFonts w:ascii="仿宋_GB2312" w:eastAsia="仿宋_GB2312"/>
          <w:sz w:val="32"/>
          <w:szCs w:val="32"/>
        </w:rPr>
      </w:pPr>
      <w:r>
        <w:rPr>
          <w:rFonts w:hint="eastAsia" w:ascii="仿宋_GB2312" w:eastAsia="仿宋_GB2312"/>
          <w:sz w:val="32"/>
          <w:szCs w:val="32"/>
        </w:rPr>
        <w:t>（四）不动产基金所投资专项计划的已生效的基础资产买卖协议；</w:t>
      </w:r>
    </w:p>
    <w:p w14:paraId="38A1BA0B">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（五）本所要求提交的其他文件。</w:t>
      </w:r>
    </w:p>
    <w:p w14:paraId="3EE20B69">
      <w:pPr>
        <w:spacing w:line="560" w:lineRule="exact"/>
        <w:ind w:firstLine="640" w:firstLineChars="200"/>
        <w:rPr>
          <w:rFonts w:ascii="仿宋_GB2312" w:eastAsia="仿宋_GB2312"/>
          <w:sz w:val="32"/>
          <w:szCs w:val="32"/>
        </w:rPr>
      </w:pPr>
      <w:r>
        <w:rPr>
          <w:rFonts w:hint="eastAsia" w:ascii="仿宋_GB2312" w:eastAsia="仿宋_GB2312"/>
          <w:sz w:val="32"/>
          <w:szCs w:val="32"/>
        </w:rPr>
        <w:t>已根据本办法第十二条规定提交且无变化的材料，可不再提交。</w:t>
      </w:r>
    </w:p>
    <w:p w14:paraId="56BFAE94">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第二十七条 </w:t>
      </w:r>
      <w:r>
        <w:rPr>
          <w:rFonts w:hint="eastAsia" w:ascii="仿宋_GB2312" w:eastAsia="仿宋_GB2312"/>
          <w:sz w:val="32"/>
          <w:szCs w:val="32"/>
        </w:rPr>
        <w:t>不动产基金符合上市条件的，本所向基金管理人出具上市通知书。</w:t>
      </w:r>
    </w:p>
    <w:p w14:paraId="768446EF">
      <w:pPr>
        <w:pStyle w:val="54"/>
        <w:spacing w:line="560" w:lineRule="exact"/>
        <w:ind w:firstLine="640"/>
        <w:rPr>
          <w:rFonts w:ascii="仿宋_GB2312" w:eastAsia="仿宋_GB2312"/>
          <w:sz w:val="32"/>
          <w:szCs w:val="32"/>
        </w:rPr>
      </w:pPr>
      <w:r>
        <w:rPr>
          <w:rFonts w:hint="eastAsia" w:ascii="仿宋_GB2312" w:eastAsia="仿宋_GB2312"/>
          <w:sz w:val="32"/>
          <w:szCs w:val="32"/>
        </w:rPr>
        <w:t>基金管理人应当在基金份额上市交易的</w:t>
      </w:r>
      <w:r>
        <w:rPr>
          <w:rFonts w:eastAsia="仿宋_GB2312"/>
          <w:sz w:val="32"/>
          <w:szCs w:val="32"/>
        </w:rPr>
        <w:t>3</w:t>
      </w:r>
      <w:r>
        <w:rPr>
          <w:rFonts w:hint="eastAsia" w:ascii="仿宋_GB2312" w:eastAsia="仿宋_GB2312"/>
          <w:sz w:val="32"/>
          <w:szCs w:val="32"/>
        </w:rPr>
        <w:t>个工作日前，公告上市交易公告书。上市交易公告书除应当披露中国证监会《证券投资基金信息披露内容与格式准则第</w:t>
      </w:r>
      <w:r>
        <w:rPr>
          <w:rFonts w:hint="eastAsia" w:eastAsia="仿宋_GB2312"/>
          <w:sz w:val="32"/>
          <w:szCs w:val="32"/>
        </w:rPr>
        <w:t>1</w:t>
      </w:r>
      <w:r>
        <w:rPr>
          <w:rFonts w:hint="eastAsia" w:ascii="仿宋_GB2312" w:eastAsia="仿宋_GB2312"/>
          <w:sz w:val="32"/>
          <w:szCs w:val="32"/>
        </w:rPr>
        <w:t>号〈上市交易公告书的内容与格式〉》规定的内容外，还应当披露下列内容：</w:t>
      </w:r>
    </w:p>
    <w:p w14:paraId="412E7039">
      <w:pPr>
        <w:spacing w:line="560" w:lineRule="exact"/>
        <w:ind w:firstLine="640" w:firstLineChars="200"/>
        <w:rPr>
          <w:rFonts w:ascii="仿宋_GB2312" w:eastAsia="仿宋_GB2312"/>
          <w:sz w:val="32"/>
          <w:szCs w:val="32"/>
        </w:rPr>
      </w:pPr>
      <w:r>
        <w:rPr>
          <w:rFonts w:hint="eastAsia" w:ascii="仿宋_GB2312" w:eastAsia="仿宋_GB2312"/>
          <w:sz w:val="32"/>
          <w:szCs w:val="32"/>
        </w:rPr>
        <w:t>（一）不动产基金发售情况；</w:t>
      </w:r>
    </w:p>
    <w:p w14:paraId="4BB4EE3D">
      <w:pPr>
        <w:spacing w:line="560" w:lineRule="exact"/>
        <w:ind w:firstLine="640" w:firstLineChars="200"/>
        <w:rPr>
          <w:rFonts w:ascii="仿宋_GB2312" w:eastAsia="仿宋_GB2312"/>
          <w:sz w:val="32"/>
          <w:szCs w:val="32"/>
        </w:rPr>
      </w:pPr>
      <w:r>
        <w:rPr>
          <w:rFonts w:hint="eastAsia" w:ascii="仿宋_GB2312" w:eastAsia="仿宋_GB2312"/>
          <w:sz w:val="32"/>
          <w:szCs w:val="32"/>
        </w:rPr>
        <w:t>（二）不动产项目原始权益人或者其同一控制下的关联方、其他战略投资者参与本次基金战略配售的具体情况</w:t>
      </w:r>
      <w:r>
        <w:rPr>
          <w:rFonts w:hint="eastAsia" w:eastAsia="仿宋_GB2312"/>
          <w:sz w:val="32"/>
          <w:szCs w:val="32"/>
        </w:rPr>
        <w:t>以</w:t>
      </w:r>
      <w:r>
        <w:rPr>
          <w:rFonts w:hint="eastAsia" w:ascii="仿宋_GB2312" w:eastAsia="仿宋_GB2312"/>
          <w:sz w:val="32"/>
          <w:szCs w:val="32"/>
        </w:rPr>
        <w:t>及限售安排；</w:t>
      </w:r>
    </w:p>
    <w:p w14:paraId="572C7C6A">
      <w:pPr>
        <w:spacing w:line="560" w:lineRule="exact"/>
        <w:ind w:firstLine="640" w:firstLineChars="200"/>
        <w:rPr>
          <w:rFonts w:ascii="仿宋_GB2312" w:eastAsia="仿宋_GB2312"/>
          <w:sz w:val="32"/>
          <w:szCs w:val="32"/>
        </w:rPr>
      </w:pPr>
      <w:r>
        <w:rPr>
          <w:rFonts w:hint="eastAsia" w:ascii="仿宋_GB2312" w:eastAsia="仿宋_GB2312"/>
          <w:sz w:val="32"/>
          <w:szCs w:val="32"/>
        </w:rPr>
        <w:t>（三）不动产基金投资运作、交易等环节的主要风险；</w:t>
      </w:r>
    </w:p>
    <w:p w14:paraId="52648053">
      <w:pPr>
        <w:spacing w:line="560" w:lineRule="exact"/>
        <w:ind w:firstLine="640" w:firstLineChars="200"/>
        <w:rPr>
          <w:rFonts w:ascii="仿宋_GB2312" w:eastAsia="仿宋_GB2312"/>
          <w:sz w:val="32"/>
          <w:szCs w:val="32"/>
        </w:rPr>
      </w:pPr>
      <w:r>
        <w:rPr>
          <w:rFonts w:hint="eastAsia" w:ascii="仿宋_GB2312" w:eastAsia="仿宋_GB2312"/>
          <w:sz w:val="32"/>
          <w:szCs w:val="32"/>
        </w:rPr>
        <w:t>（四）不动产基金认购不动产资产支持证券以及不动产基金所投资专项计划投资基础资产的情况；</w:t>
      </w:r>
    </w:p>
    <w:p w14:paraId="7F5FABEE">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（五）本所要求披露的其他内容。</w:t>
      </w:r>
    </w:p>
    <w:p w14:paraId="3EF73DBE">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第二十八条 </w:t>
      </w:r>
      <w:r>
        <w:rPr>
          <w:rFonts w:hint="eastAsia" w:ascii="仿宋_GB2312" w:eastAsia="仿宋_GB2312"/>
          <w:color w:val="000000"/>
          <w:sz w:val="32"/>
          <w:szCs w:val="32"/>
        </w:rPr>
        <w:t>不动产基金</w:t>
      </w:r>
      <w:r>
        <w:rPr>
          <w:rFonts w:hint="eastAsia" w:ascii="仿宋_GB2312" w:eastAsia="仿宋_GB2312"/>
          <w:sz w:val="32"/>
          <w:szCs w:val="32"/>
        </w:rPr>
        <w:t>份额上市首日，其即时行情显示的前收盘价为不动产基金发售价格。</w:t>
      </w:r>
    </w:p>
    <w:p w14:paraId="1093ED0C">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第二十九条 </w:t>
      </w:r>
      <w:r>
        <w:rPr>
          <w:rFonts w:hint="eastAsia" w:ascii="仿宋_GB2312" w:eastAsia="仿宋_GB2312"/>
          <w:sz w:val="32"/>
          <w:szCs w:val="32"/>
        </w:rPr>
        <w:t>战略投资者持有的不动产基金战略配售份额应当按照《基金指引》《商业不动产基金公告》等的规定以及有关约定进行限售管理。</w:t>
      </w:r>
    </w:p>
    <w:p w14:paraId="0013C03C">
      <w:pPr>
        <w:pStyle w:val="54"/>
        <w:spacing w:line="560" w:lineRule="exact"/>
        <w:ind w:firstLine="640"/>
        <w:rPr>
          <w:rFonts w:ascii="仿宋_GB2312" w:eastAsia="仿宋_GB2312"/>
          <w:sz w:val="32"/>
          <w:szCs w:val="32"/>
        </w:rPr>
      </w:pPr>
      <w:r>
        <w:rPr>
          <w:rFonts w:hint="eastAsia" w:ascii="仿宋_GB2312" w:eastAsia="仿宋_GB2312"/>
          <w:sz w:val="32"/>
          <w:szCs w:val="32"/>
        </w:rPr>
        <w:t>基金管理人应当制定专项制度，加强对战略投资者持有基金份额的限售管理。</w:t>
      </w:r>
    </w:p>
    <w:p w14:paraId="7B99F148">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第三十条 </w:t>
      </w:r>
      <w:r>
        <w:rPr>
          <w:rFonts w:hint="eastAsia" w:ascii="仿宋_GB2312" w:eastAsia="仿宋_GB2312"/>
          <w:sz w:val="32"/>
          <w:szCs w:val="32"/>
        </w:rPr>
        <w:t>战略投资者持有的不动产基金战略配售份额符合解除限售条件的，可以通过基金管理人在解除限售前</w:t>
      </w:r>
      <w:r>
        <w:rPr>
          <w:rFonts w:hint="eastAsia" w:eastAsia="仿宋_GB2312"/>
          <w:sz w:val="32"/>
          <w:szCs w:val="32"/>
        </w:rPr>
        <w:t>5</w:t>
      </w:r>
      <w:r>
        <w:rPr>
          <w:rFonts w:hint="eastAsia" w:ascii="仿宋_GB2312" w:eastAsia="仿宋_GB2312"/>
          <w:sz w:val="32"/>
          <w:szCs w:val="32"/>
        </w:rPr>
        <w:t>个交易日披露解除限售安排。申请解除限售时，基金管理人应当向本所提交下列文件：</w:t>
      </w:r>
    </w:p>
    <w:p w14:paraId="35477213">
      <w:pPr>
        <w:tabs>
          <w:tab w:val="left" w:pos="1701"/>
        </w:tabs>
        <w:spacing w:line="560" w:lineRule="exact"/>
        <w:ind w:firstLine="640" w:firstLineChars="200"/>
        <w:rPr>
          <w:rFonts w:ascii="仿宋_GB2312" w:eastAsia="仿宋_GB2312"/>
          <w:sz w:val="32"/>
          <w:szCs w:val="32"/>
        </w:rPr>
      </w:pPr>
      <w:r>
        <w:rPr>
          <w:rFonts w:hint="eastAsia" w:ascii="仿宋_GB2312" w:eastAsia="仿宋_GB2312"/>
          <w:sz w:val="32"/>
          <w:szCs w:val="32"/>
        </w:rPr>
        <w:t>（一）基金份额解除限售申请；</w:t>
      </w:r>
    </w:p>
    <w:p w14:paraId="5B252F02">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（二）全部或者部分解除限售的理由和有关证明文件（如适用）；</w:t>
      </w:r>
    </w:p>
    <w:p w14:paraId="645B9A3A">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（三）基金份额解除限售的提示性公告；</w:t>
      </w:r>
    </w:p>
    <w:p w14:paraId="7AB610DA">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（四）本所要求的其他文件。</w:t>
      </w:r>
    </w:p>
    <w:p w14:paraId="2F8F7D55">
      <w:pPr>
        <w:spacing w:line="560" w:lineRule="exact"/>
        <w:ind w:firstLine="640" w:firstLineChars="200"/>
        <w:rPr>
          <w:rFonts w:ascii="仿宋_GB2312" w:eastAsia="仿宋_GB2312"/>
          <w:b/>
          <w:sz w:val="32"/>
          <w:szCs w:val="32"/>
        </w:rPr>
      </w:pPr>
      <w:r>
        <w:rPr>
          <w:rFonts w:hint="eastAsia" w:ascii="仿宋_GB2312" w:eastAsia="仿宋_GB2312"/>
          <w:sz w:val="32"/>
          <w:szCs w:val="32"/>
        </w:rPr>
        <w:t>基金管理人应当披露战略投资者履行限售承诺的情况以及律师的核查意见（如需）。</w:t>
      </w:r>
    </w:p>
    <w:p w14:paraId="785534FA">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第三十一条 </w:t>
      </w:r>
      <w:r>
        <w:rPr>
          <w:rFonts w:hint="eastAsia" w:ascii="仿宋_GB2312" w:eastAsia="仿宋_GB2312"/>
          <w:sz w:val="32"/>
          <w:szCs w:val="32"/>
        </w:rPr>
        <w:t>普通投资者首次认购或者买入不动产基金份额前，基金管理人、本所会员应当要求其以纸质或者电子形式签署风险揭示书，确认其了解不动产基金产品特征</w:t>
      </w:r>
      <w:r>
        <w:rPr>
          <w:rFonts w:hint="eastAsia" w:eastAsia="仿宋_GB2312"/>
          <w:sz w:val="32"/>
          <w:szCs w:val="32"/>
        </w:rPr>
        <w:t>以</w:t>
      </w:r>
      <w:r>
        <w:rPr>
          <w:rFonts w:hint="eastAsia" w:ascii="仿宋_GB2312" w:eastAsia="仿宋_GB2312"/>
          <w:sz w:val="32"/>
          <w:szCs w:val="32"/>
        </w:rPr>
        <w:t>及主要风险。</w:t>
      </w:r>
    </w:p>
    <w:p w14:paraId="1CD8146B">
      <w:pPr>
        <w:pStyle w:val="54"/>
        <w:numPr>
          <w:ilvl w:val="0"/>
          <w:numId w:val="0"/>
        </w:numPr>
        <w:spacing w:line="560" w:lineRule="exact"/>
        <w:ind w:left="0" w:leftChars="0" w:firstLine="643" w:firstLineChars="200"/>
        <w:rPr>
          <w:rFonts w:ascii="仿宋_GB2312"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第三十二条 </w:t>
      </w:r>
      <w:r>
        <w:rPr>
          <w:rFonts w:hint="eastAsia" w:ascii="仿宋_GB2312" w:eastAsia="仿宋_GB2312"/>
          <w:sz w:val="32"/>
          <w:szCs w:val="32"/>
        </w:rPr>
        <w:t>资产支持证券管理人应当按照本所资产支持证券有关业务规则向本所申请不动产资产支持证券挂牌。</w:t>
      </w:r>
    </w:p>
    <w:p w14:paraId="42DCD33B">
      <w:pPr>
        <w:pStyle w:val="54"/>
        <w:spacing w:line="560" w:lineRule="exact"/>
        <w:ind w:firstLine="640"/>
        <w:rPr>
          <w:rFonts w:ascii="仿宋_GB2312" w:eastAsia="仿宋_GB2312"/>
          <w:sz w:val="32"/>
          <w:szCs w:val="32"/>
        </w:rPr>
      </w:pPr>
      <w:r>
        <w:rPr>
          <w:rFonts w:hint="eastAsia" w:ascii="仿宋_GB2312" w:eastAsia="仿宋_GB2312"/>
          <w:sz w:val="32"/>
          <w:szCs w:val="32"/>
        </w:rPr>
        <w:t>挂牌申请文件完备的，本所向资产支持证券管理人出具接受挂牌通知书。</w:t>
      </w:r>
    </w:p>
    <w:p w14:paraId="6DFEC1D4">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第三十三条 </w:t>
      </w:r>
      <w:r>
        <w:rPr>
          <w:rFonts w:hint="eastAsia" w:ascii="仿宋_GB2312" w:eastAsia="仿宋_GB2312"/>
          <w:sz w:val="32"/>
          <w:szCs w:val="32"/>
        </w:rPr>
        <w:t>不动产基金可以采用竞价、大宗、报价、询价、指定对手方和协议交易等本所认可的交易方式交易。</w:t>
      </w:r>
    </w:p>
    <w:p w14:paraId="1338A619">
      <w:pPr>
        <w:pStyle w:val="54"/>
        <w:spacing w:line="560" w:lineRule="exact"/>
        <w:ind w:firstLine="640"/>
        <w:rPr>
          <w:rFonts w:ascii="仿宋_GB2312" w:eastAsia="仿宋_GB2312"/>
          <w:sz w:val="32"/>
          <w:szCs w:val="32"/>
        </w:rPr>
      </w:pPr>
      <w:r>
        <w:rPr>
          <w:rFonts w:hint="eastAsia" w:ascii="仿宋_GB2312" w:eastAsia="仿宋_GB2312"/>
          <w:sz w:val="32"/>
          <w:szCs w:val="32"/>
        </w:rPr>
        <w:t>不动产基金竞价、大宗交易适用基金交易的有关规定，报价、询价、指定对手方和协议交易等参照适用债券交易的有关规定，本所另有规定的除外。</w:t>
      </w:r>
    </w:p>
    <w:p w14:paraId="6BDC07CE">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第三十四条 </w:t>
      </w:r>
      <w:r>
        <w:rPr>
          <w:rFonts w:hint="eastAsia" w:ascii="仿宋_GB2312" w:eastAsia="仿宋_GB2312"/>
          <w:sz w:val="32"/>
          <w:szCs w:val="32"/>
        </w:rPr>
        <w:t>本所对不动产基金交易实行价格涨跌幅限制，不动产基金上市首日涨跌幅限制比例为</w:t>
      </w:r>
      <w:r>
        <w:rPr>
          <w:rFonts w:hint="eastAsia" w:eastAsia="仿宋_GB2312"/>
          <w:sz w:val="32"/>
          <w:szCs w:val="32"/>
        </w:rPr>
        <w:t>30%</w:t>
      </w:r>
      <w:r>
        <w:rPr>
          <w:rFonts w:hint="eastAsia" w:ascii="仿宋_GB2312" w:eastAsia="仿宋_GB2312"/>
          <w:sz w:val="32"/>
          <w:szCs w:val="32"/>
        </w:rPr>
        <w:t>，非上市首日涨跌幅限制比例为</w:t>
      </w:r>
      <w:r>
        <w:rPr>
          <w:rFonts w:hint="eastAsia" w:eastAsia="仿宋_GB2312"/>
          <w:sz w:val="32"/>
          <w:szCs w:val="32"/>
        </w:rPr>
        <w:t>10%</w:t>
      </w:r>
      <w:r>
        <w:rPr>
          <w:rFonts w:hint="eastAsia" w:ascii="仿宋_GB2312" w:eastAsia="仿宋_GB2312"/>
          <w:sz w:val="32"/>
          <w:szCs w:val="32"/>
        </w:rPr>
        <w:t>，本所另有规定的除外。</w:t>
      </w:r>
    </w:p>
    <w:p w14:paraId="7F995966">
      <w:pPr>
        <w:pStyle w:val="54"/>
        <w:spacing w:line="560" w:lineRule="exact"/>
        <w:ind w:firstLine="640"/>
        <w:rPr>
          <w:rFonts w:ascii="仿宋_GB2312" w:eastAsia="仿宋_GB2312"/>
          <w:sz w:val="32"/>
          <w:szCs w:val="32"/>
        </w:rPr>
      </w:pPr>
      <w:r>
        <w:rPr>
          <w:rFonts w:hint="eastAsia" w:ascii="仿宋_GB2312" w:eastAsia="仿宋_GB2312"/>
          <w:sz w:val="32"/>
          <w:szCs w:val="32"/>
        </w:rPr>
        <w:t>不动产基金涨跌幅价格的计算公式为：涨跌幅价格＝前收盘价×（</w:t>
      </w:r>
      <w:r>
        <w:rPr>
          <w:rFonts w:hint="eastAsia" w:eastAsia="仿宋_GB2312"/>
          <w:sz w:val="32"/>
          <w:szCs w:val="32"/>
        </w:rPr>
        <w:t>1</w:t>
      </w:r>
      <w:r>
        <w:rPr>
          <w:rFonts w:hint="eastAsia" w:ascii="仿宋_GB2312" w:eastAsia="仿宋_GB2312"/>
          <w:sz w:val="32"/>
          <w:szCs w:val="32"/>
        </w:rPr>
        <w:t>±涨跌幅比例）。</w:t>
      </w:r>
    </w:p>
    <w:p w14:paraId="69DFA008">
      <w:pPr>
        <w:pStyle w:val="54"/>
        <w:numPr>
          <w:ilvl w:val="0"/>
          <w:numId w:val="0"/>
        </w:numPr>
        <w:spacing w:line="560" w:lineRule="exact"/>
        <w:ind w:left="0" w:leftChars="0" w:firstLine="643" w:firstLineChars="200"/>
        <w:rPr>
          <w:rFonts w:ascii="仿宋_GB2312" w:eastAsia="仿宋_GB2312"/>
          <w:color w:val="000000"/>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第三十五条 </w:t>
      </w:r>
      <w:r>
        <w:rPr>
          <w:rFonts w:hint="eastAsia" w:ascii="仿宋_GB2312" w:eastAsia="仿宋_GB2312"/>
          <w:sz w:val="32"/>
          <w:szCs w:val="32"/>
        </w:rPr>
        <w:t>本所在交易时间内通过交易系统或者交易所网站即时公布不动产基金下列信息：证券代码、证券简称、申报类型、买卖方向、数量、价格、收益率等。</w:t>
      </w:r>
    </w:p>
    <w:p w14:paraId="50AEE719">
      <w:pPr>
        <w:pStyle w:val="54"/>
        <w:numPr>
          <w:ilvl w:val="0"/>
          <w:numId w:val="0"/>
        </w:numPr>
        <w:tabs>
          <w:tab w:val="left" w:pos="1134"/>
        </w:tabs>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第三十六条 </w:t>
      </w:r>
      <w:r>
        <w:rPr>
          <w:rFonts w:hint="eastAsia" w:ascii="仿宋_GB2312" w:eastAsia="仿宋_GB2312"/>
          <w:sz w:val="32"/>
          <w:szCs w:val="32"/>
        </w:rPr>
        <w:t>不动产基金采用竞价交易的，单笔申报的最大数量应当不超过</w:t>
      </w:r>
      <w:r>
        <w:rPr>
          <w:rFonts w:hint="eastAsia" w:eastAsia="仿宋_GB2312"/>
          <w:sz w:val="32"/>
          <w:szCs w:val="32"/>
        </w:rPr>
        <w:t>1</w:t>
      </w:r>
      <w:r>
        <w:rPr>
          <w:rFonts w:hint="eastAsia" w:ascii="仿宋_GB2312" w:eastAsia="仿宋_GB2312"/>
          <w:sz w:val="32"/>
          <w:szCs w:val="32"/>
        </w:rPr>
        <w:t>亿份；不动产基金采用询价和大宗交易的，单笔申报数量应当为</w:t>
      </w:r>
      <w:r>
        <w:rPr>
          <w:rFonts w:hint="eastAsia" w:eastAsia="仿宋_GB2312"/>
          <w:sz w:val="32"/>
          <w:szCs w:val="32"/>
        </w:rPr>
        <w:t>1000</w:t>
      </w:r>
      <w:r>
        <w:rPr>
          <w:rFonts w:hint="eastAsia" w:ascii="仿宋_GB2312" w:eastAsia="仿宋_GB2312"/>
          <w:sz w:val="32"/>
          <w:szCs w:val="32"/>
        </w:rPr>
        <w:t>份或者其整数倍。</w:t>
      </w:r>
    </w:p>
    <w:p w14:paraId="7CA2A29A">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本所可以根据市场发展需要，调整不动产基金交易申报数量。</w:t>
      </w:r>
    </w:p>
    <w:p w14:paraId="5FC21DCF">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第三十七条 </w:t>
      </w:r>
      <w:r>
        <w:rPr>
          <w:rFonts w:hint="eastAsia" w:ascii="仿宋_GB2312" w:eastAsia="仿宋_GB2312"/>
          <w:sz w:val="32"/>
          <w:szCs w:val="32"/>
        </w:rPr>
        <w:t>不动产基金申报价格最小变动单位为</w:t>
      </w:r>
      <w:r>
        <w:rPr>
          <w:rFonts w:hint="eastAsia" w:eastAsia="仿宋_GB2312"/>
          <w:sz w:val="32"/>
          <w:szCs w:val="32"/>
        </w:rPr>
        <w:t>0</w:t>
      </w:r>
      <w:r>
        <w:rPr>
          <w:rFonts w:hint="eastAsia" w:ascii="仿宋_GB2312" w:eastAsia="仿宋_GB2312"/>
          <w:sz w:val="32"/>
          <w:szCs w:val="32"/>
        </w:rPr>
        <w:t>.</w:t>
      </w:r>
      <w:r>
        <w:rPr>
          <w:rFonts w:hint="eastAsia" w:eastAsia="仿宋_GB2312"/>
          <w:sz w:val="32"/>
          <w:szCs w:val="32"/>
        </w:rPr>
        <w:t>001</w:t>
      </w:r>
      <w:r>
        <w:rPr>
          <w:rFonts w:hint="eastAsia" w:ascii="仿宋_GB2312" w:eastAsia="仿宋_GB2312"/>
          <w:sz w:val="32"/>
          <w:szCs w:val="32"/>
        </w:rPr>
        <w:t>元。</w:t>
      </w:r>
    </w:p>
    <w:p w14:paraId="6773C1DB">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第三十八条 </w:t>
      </w:r>
      <w:r>
        <w:rPr>
          <w:rFonts w:hint="eastAsia" w:ascii="仿宋_GB2312" w:eastAsia="仿宋_GB2312"/>
          <w:sz w:val="32"/>
          <w:szCs w:val="32"/>
        </w:rPr>
        <w:t>不动产基金份额可以作为质押券按照本所规定参与质押式协议回购、质押式三方回购等业务。</w:t>
      </w:r>
    </w:p>
    <w:p w14:paraId="58DA5E34">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原始权益人或者其同一控制下的关联方在限售期届满后参与本条第一款所述业务的，质押的战略配售取得的不动产基金份额累计不得超过其所持全部该类份额的</w:t>
      </w:r>
      <w:r>
        <w:rPr>
          <w:rFonts w:hint="eastAsia" w:eastAsia="仿宋_GB2312"/>
          <w:sz w:val="32"/>
          <w:szCs w:val="32"/>
        </w:rPr>
        <w:t>50%</w:t>
      </w:r>
      <w:r>
        <w:rPr>
          <w:rFonts w:hint="eastAsia" w:ascii="仿宋_GB2312" w:eastAsia="仿宋_GB2312"/>
          <w:sz w:val="32"/>
          <w:szCs w:val="32"/>
        </w:rPr>
        <w:t>，本所另有规定除外。</w:t>
      </w:r>
    </w:p>
    <w:p w14:paraId="4A21D657">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第三十九条 </w:t>
      </w:r>
      <w:r>
        <w:rPr>
          <w:rFonts w:hint="eastAsia" w:ascii="仿宋_GB2312" w:eastAsia="仿宋_GB2312"/>
          <w:sz w:val="32"/>
          <w:szCs w:val="32"/>
        </w:rPr>
        <w:t>不动产基金上市期间，基金管理人原则上应当选定不少于</w:t>
      </w:r>
      <w:r>
        <w:rPr>
          <w:rFonts w:hint="eastAsia" w:eastAsia="仿宋_GB2312"/>
          <w:sz w:val="32"/>
          <w:szCs w:val="32"/>
        </w:rPr>
        <w:t>1</w:t>
      </w:r>
      <w:r>
        <w:rPr>
          <w:rFonts w:hint="eastAsia" w:ascii="仿宋_GB2312" w:eastAsia="仿宋_GB2312"/>
          <w:sz w:val="32"/>
          <w:szCs w:val="32"/>
        </w:rPr>
        <w:t>家流动性服务商为不动产基金提供双边报价等服务。</w:t>
      </w:r>
    </w:p>
    <w:p w14:paraId="793FE149">
      <w:pPr>
        <w:spacing w:line="560" w:lineRule="exact"/>
        <w:ind w:firstLine="640" w:firstLineChars="200"/>
        <w:rPr>
          <w:rFonts w:eastAsia="仿宋_GB2312"/>
          <w:sz w:val="32"/>
          <w:szCs w:val="32"/>
        </w:rPr>
      </w:pPr>
      <w:r>
        <w:rPr>
          <w:rFonts w:hint="eastAsia" w:ascii="仿宋_GB2312" w:eastAsia="仿宋_GB2312"/>
          <w:sz w:val="32"/>
          <w:szCs w:val="32"/>
        </w:rPr>
        <w:t>不动产基金管理人</w:t>
      </w:r>
      <w:r>
        <w:rPr>
          <w:rFonts w:hint="eastAsia" w:eastAsia="仿宋_GB2312"/>
          <w:sz w:val="32"/>
          <w:szCs w:val="32"/>
        </w:rPr>
        <w:t>以</w:t>
      </w:r>
      <w:r>
        <w:rPr>
          <w:rFonts w:hint="eastAsia" w:ascii="仿宋_GB2312" w:eastAsia="仿宋_GB2312"/>
          <w:sz w:val="32"/>
          <w:szCs w:val="32"/>
        </w:rPr>
        <w:t>及流动性服务商开展基金流动性服务业务，按照本所基金流动性服务有关规</w:t>
      </w:r>
      <w:r>
        <w:rPr>
          <w:rFonts w:eastAsia="仿宋_GB2312"/>
          <w:sz w:val="32"/>
          <w:szCs w:val="32"/>
        </w:rPr>
        <w:t>定执行。</w:t>
      </w:r>
    </w:p>
    <w:p w14:paraId="5A1ABE9D">
      <w:pPr>
        <w:pStyle w:val="54"/>
        <w:numPr>
          <w:ilvl w:val="0"/>
          <w:numId w:val="0"/>
        </w:numPr>
        <w:spacing w:line="560" w:lineRule="exact"/>
        <w:ind w:left="0" w:leftChars="0" w:firstLine="198" w:firstLineChars="0"/>
        <w:jc w:val="center"/>
        <w:rPr>
          <w:rFonts w:eastAsia="黑体"/>
          <w:bCs/>
          <w:sz w:val="32"/>
          <w:szCs w:val="32"/>
        </w:rPr>
      </w:pPr>
      <w:r>
        <w:rPr>
          <w:rFonts w:hint="eastAsia" w:ascii="Times New Roman" w:hAnsi="Times New Roman" w:eastAsia="黑体" w:cs="Times New Roman"/>
          <w:b w:val="0"/>
          <w:bCs/>
          <w:kern w:val="2"/>
          <w:sz w:val="32"/>
          <w:szCs w:val="32"/>
          <w:lang w:val="en-US" w:eastAsia="zh-CN" w:bidi="ar-SA"/>
        </w:rPr>
        <w:t>第四章</w:t>
      </w:r>
      <w:r>
        <w:rPr>
          <w:rFonts w:hint="eastAsia" w:hAnsi="黑体" w:eastAsia="黑体"/>
          <w:bCs/>
          <w:sz w:val="32"/>
          <w:szCs w:val="32"/>
        </w:rPr>
        <w:t>存续期管理</w:t>
      </w:r>
    </w:p>
    <w:p w14:paraId="068B2397">
      <w:pPr>
        <w:spacing w:line="560" w:lineRule="exact"/>
        <w:ind w:firstLine="198"/>
        <w:jc w:val="center"/>
        <w:rPr>
          <w:rFonts w:ascii="楷体_GB2312" w:eastAsia="楷体_GB2312"/>
          <w:bCs/>
          <w:sz w:val="32"/>
          <w:szCs w:val="32"/>
        </w:rPr>
      </w:pPr>
      <w:r>
        <w:rPr>
          <w:rFonts w:hint="eastAsia" w:ascii="楷体_GB2312" w:eastAsia="楷体_GB2312"/>
          <w:bCs/>
          <w:sz w:val="32"/>
          <w:szCs w:val="32"/>
        </w:rPr>
        <w:t>第一节 运营管理与信息披露</w:t>
      </w:r>
    </w:p>
    <w:p w14:paraId="1873FCC8">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第四十条 </w:t>
      </w:r>
      <w:r>
        <w:rPr>
          <w:rFonts w:eastAsia="仿宋_GB2312"/>
          <w:sz w:val="32"/>
          <w:szCs w:val="32"/>
        </w:rPr>
        <w:t>不动产基金存续期间，基金管理人、基金托管人、资产支持证券管理人、资产支持证券托管人、原始权益人、</w:t>
      </w:r>
      <w:r>
        <w:rPr>
          <w:rFonts w:hint="eastAsia" w:eastAsia="仿宋_GB2312"/>
          <w:sz w:val="32"/>
          <w:szCs w:val="32"/>
        </w:rPr>
        <w:t>运营</w:t>
      </w:r>
      <w:r>
        <w:rPr>
          <w:rFonts w:eastAsia="仿宋_GB2312"/>
          <w:sz w:val="32"/>
          <w:szCs w:val="32"/>
        </w:rPr>
        <w:t>管理机构等业务参与机构应当按照法律法规、本办法规定</w:t>
      </w:r>
      <w:r>
        <w:rPr>
          <w:rFonts w:hint="eastAsia" w:eastAsia="仿宋_GB2312"/>
          <w:sz w:val="32"/>
          <w:szCs w:val="32"/>
        </w:rPr>
        <w:t>以</w:t>
      </w:r>
      <w:r>
        <w:rPr>
          <w:rFonts w:eastAsia="仿宋_GB2312"/>
          <w:sz w:val="32"/>
          <w:szCs w:val="32"/>
        </w:rPr>
        <w:t>及</w:t>
      </w:r>
      <w:r>
        <w:rPr>
          <w:rFonts w:hint="eastAsia" w:eastAsia="仿宋_GB2312"/>
          <w:sz w:val="32"/>
          <w:szCs w:val="32"/>
        </w:rPr>
        <w:t>有</w:t>
      </w:r>
      <w:r>
        <w:rPr>
          <w:rFonts w:eastAsia="仿宋_GB2312"/>
          <w:sz w:val="32"/>
          <w:szCs w:val="32"/>
        </w:rPr>
        <w:t>关合同约定履行职责或者义务。</w:t>
      </w:r>
    </w:p>
    <w:p w14:paraId="63D94EF6">
      <w:pPr>
        <w:spacing w:line="560" w:lineRule="exact"/>
        <w:ind w:firstLine="640" w:firstLineChars="200"/>
        <w:rPr>
          <w:rFonts w:eastAsia="仿宋_GB2312"/>
          <w:sz w:val="32"/>
          <w:szCs w:val="32"/>
        </w:rPr>
      </w:pPr>
      <w:r>
        <w:rPr>
          <w:rFonts w:eastAsia="仿宋_GB2312"/>
          <w:sz w:val="32"/>
          <w:szCs w:val="32"/>
        </w:rPr>
        <w:t>基金管理人应当主动履行不动产项目运营管理职责，通过设立专门子公司或者委托</w:t>
      </w:r>
      <w:r>
        <w:rPr>
          <w:rFonts w:hint="eastAsia" w:eastAsia="仿宋_GB2312"/>
          <w:sz w:val="32"/>
          <w:szCs w:val="32"/>
        </w:rPr>
        <w:t>运营</w:t>
      </w:r>
      <w:r>
        <w:rPr>
          <w:rFonts w:eastAsia="仿宋_GB2312"/>
          <w:sz w:val="32"/>
          <w:szCs w:val="32"/>
        </w:rPr>
        <w:t>管理机构负责不动产项目运营管理的，应当符合《基金指引》</w:t>
      </w:r>
      <w:r>
        <w:rPr>
          <w:rFonts w:hint="eastAsia" w:eastAsia="仿宋_GB2312"/>
          <w:sz w:val="32"/>
          <w:szCs w:val="32"/>
        </w:rPr>
        <w:t>《商业不动产基金公告》</w:t>
      </w:r>
      <w:r>
        <w:rPr>
          <w:rFonts w:eastAsia="仿宋_GB2312"/>
          <w:sz w:val="32"/>
          <w:szCs w:val="32"/>
        </w:rPr>
        <w:t>有关规定，并按照</w:t>
      </w:r>
      <w:r>
        <w:rPr>
          <w:rFonts w:hint="eastAsia" w:eastAsia="仿宋_GB2312"/>
          <w:sz w:val="32"/>
          <w:szCs w:val="32"/>
        </w:rPr>
        <w:t>有</w:t>
      </w:r>
      <w:r>
        <w:rPr>
          <w:rFonts w:eastAsia="仿宋_GB2312"/>
          <w:sz w:val="32"/>
          <w:szCs w:val="32"/>
        </w:rPr>
        <w:t>关规定持续加强对专门子公司或</w:t>
      </w:r>
      <w:r>
        <w:rPr>
          <w:rFonts w:hint="eastAsia" w:eastAsia="仿宋_GB2312"/>
          <w:sz w:val="32"/>
          <w:szCs w:val="32"/>
        </w:rPr>
        <w:t>者运营</w:t>
      </w:r>
      <w:r>
        <w:rPr>
          <w:rFonts w:eastAsia="仿宋_GB2312"/>
          <w:sz w:val="32"/>
          <w:szCs w:val="32"/>
        </w:rPr>
        <w:t>管理机构等履职情况的监督。</w:t>
      </w:r>
    </w:p>
    <w:p w14:paraId="78441911">
      <w:pPr>
        <w:spacing w:line="560" w:lineRule="exact"/>
        <w:ind w:firstLine="640" w:firstLineChars="200"/>
        <w:rPr>
          <w:rFonts w:eastAsia="仿宋_GB2312"/>
          <w:sz w:val="32"/>
          <w:szCs w:val="32"/>
        </w:rPr>
      </w:pPr>
      <w:r>
        <w:rPr>
          <w:rFonts w:eastAsia="仿宋_GB2312"/>
          <w:sz w:val="32"/>
          <w:szCs w:val="32"/>
        </w:rPr>
        <w:t>基金管理人根据规定或</w:t>
      </w:r>
      <w:r>
        <w:rPr>
          <w:rFonts w:hint="eastAsia" w:eastAsia="仿宋_GB2312"/>
          <w:sz w:val="32"/>
          <w:szCs w:val="32"/>
        </w:rPr>
        <w:t>者</w:t>
      </w:r>
      <w:r>
        <w:rPr>
          <w:rFonts w:eastAsia="仿宋_GB2312"/>
          <w:sz w:val="32"/>
          <w:szCs w:val="32"/>
        </w:rPr>
        <w:t>约定解聘</w:t>
      </w:r>
      <w:r>
        <w:rPr>
          <w:rFonts w:hint="eastAsia" w:eastAsia="仿宋_GB2312"/>
          <w:sz w:val="32"/>
          <w:szCs w:val="32"/>
        </w:rPr>
        <w:t>运营</w:t>
      </w:r>
      <w:r>
        <w:rPr>
          <w:rFonts w:eastAsia="仿宋_GB2312"/>
          <w:sz w:val="32"/>
          <w:szCs w:val="32"/>
        </w:rPr>
        <w:t>管理机构，且该</w:t>
      </w:r>
      <w:r>
        <w:rPr>
          <w:rFonts w:hint="eastAsia" w:eastAsia="仿宋_GB2312"/>
          <w:sz w:val="32"/>
          <w:szCs w:val="32"/>
        </w:rPr>
        <w:t>运营</w:t>
      </w:r>
      <w:r>
        <w:rPr>
          <w:rFonts w:eastAsia="仿宋_GB2312"/>
          <w:sz w:val="32"/>
          <w:szCs w:val="32"/>
        </w:rPr>
        <w:t>管理机构为资产支持证券管理人聘请的资产服务机构</w:t>
      </w:r>
      <w:r>
        <w:rPr>
          <w:rFonts w:hint="eastAsia" w:eastAsia="仿宋_GB2312"/>
          <w:sz w:val="32"/>
          <w:szCs w:val="32"/>
        </w:rPr>
        <w:t>的</w:t>
      </w:r>
      <w:r>
        <w:rPr>
          <w:rFonts w:eastAsia="仿宋_GB2312"/>
          <w:sz w:val="32"/>
          <w:szCs w:val="32"/>
        </w:rPr>
        <w:t>，资产支持证券管理人应当同步解除与该机构的资产服务协议。</w:t>
      </w:r>
    </w:p>
    <w:p w14:paraId="5E988DB2">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第四十一条 </w:t>
      </w:r>
      <w:r>
        <w:rPr>
          <w:rFonts w:eastAsia="仿宋_GB2312"/>
          <w:sz w:val="32"/>
          <w:szCs w:val="32"/>
        </w:rPr>
        <w:t>基金管理人</w:t>
      </w:r>
      <w:r>
        <w:rPr>
          <w:rFonts w:eastAsia="仿宋_GB2312"/>
          <w:kern w:val="0"/>
          <w:sz w:val="32"/>
          <w:szCs w:val="32"/>
        </w:rPr>
        <w:t>应当按照</w:t>
      </w:r>
      <w:r>
        <w:rPr>
          <w:rFonts w:hint="eastAsia" w:eastAsia="仿宋_GB2312"/>
          <w:kern w:val="0"/>
          <w:sz w:val="32"/>
          <w:szCs w:val="32"/>
        </w:rPr>
        <w:t>法律法规</w:t>
      </w:r>
      <w:r>
        <w:rPr>
          <w:rFonts w:eastAsia="仿宋_GB2312"/>
          <w:kern w:val="0"/>
          <w:sz w:val="32"/>
          <w:szCs w:val="32"/>
        </w:rPr>
        <w:t>披露不动产基金定期报告和临时报告。</w:t>
      </w:r>
    </w:p>
    <w:p w14:paraId="4A434C97">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第四十二条 </w:t>
      </w:r>
      <w:r>
        <w:rPr>
          <w:rFonts w:eastAsia="仿宋_GB2312"/>
          <w:sz w:val="32"/>
          <w:szCs w:val="32"/>
        </w:rPr>
        <w:t>资产支持证券管理人可以通过符合规定的网站或者定向披露的方式履行信息披露义务。</w:t>
      </w:r>
    </w:p>
    <w:p w14:paraId="127DF00D">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第四十三条 </w:t>
      </w:r>
      <w:r>
        <w:rPr>
          <w:rFonts w:eastAsia="仿宋_GB2312"/>
          <w:sz w:val="32"/>
          <w:szCs w:val="32"/>
        </w:rPr>
        <w:t>拟披露的信息存在不确定性、属于临时性商业秘密</w:t>
      </w:r>
      <w:r>
        <w:rPr>
          <w:rFonts w:hint="eastAsia" w:eastAsia="仿宋_GB2312"/>
          <w:sz w:val="32"/>
          <w:szCs w:val="32"/>
        </w:rPr>
        <w:t>或者具有本所认可的</w:t>
      </w:r>
      <w:r>
        <w:rPr>
          <w:rFonts w:eastAsia="仿宋_GB2312"/>
          <w:sz w:val="32"/>
          <w:szCs w:val="32"/>
        </w:rPr>
        <w:t>其他情形，及时披露可能会损害基金利益或者误导投资者，且同时符合</w:t>
      </w:r>
      <w:r>
        <w:rPr>
          <w:rFonts w:hint="eastAsia" w:eastAsia="仿宋_GB2312"/>
          <w:sz w:val="32"/>
          <w:szCs w:val="32"/>
        </w:rPr>
        <w:t>下列</w:t>
      </w:r>
      <w:r>
        <w:rPr>
          <w:rFonts w:eastAsia="仿宋_GB2312"/>
          <w:sz w:val="32"/>
          <w:szCs w:val="32"/>
        </w:rPr>
        <w:t>条件的，基金管理人等信息披露义务人可以暂缓披露：</w:t>
      </w:r>
    </w:p>
    <w:p w14:paraId="539B5783">
      <w:pPr>
        <w:tabs>
          <w:tab w:val="left" w:pos="1134"/>
        </w:tabs>
        <w:spacing w:line="560" w:lineRule="exact"/>
        <w:ind w:firstLine="640" w:firstLineChars="200"/>
        <w:rPr>
          <w:rFonts w:eastAsia="仿宋_GB2312"/>
          <w:sz w:val="32"/>
          <w:szCs w:val="32"/>
        </w:rPr>
      </w:pPr>
      <w:r>
        <w:rPr>
          <w:rFonts w:eastAsia="仿宋_GB2312"/>
          <w:sz w:val="32"/>
          <w:szCs w:val="32"/>
        </w:rPr>
        <w:t>（一）拟披露的信息未泄漏；</w:t>
      </w:r>
    </w:p>
    <w:p w14:paraId="3E2DCA77">
      <w:pPr>
        <w:tabs>
          <w:tab w:val="left" w:pos="1134"/>
        </w:tabs>
        <w:spacing w:line="560" w:lineRule="exact"/>
        <w:ind w:firstLine="640" w:firstLineChars="200"/>
        <w:rPr>
          <w:rFonts w:eastAsia="仿宋_GB2312"/>
          <w:sz w:val="32"/>
          <w:szCs w:val="32"/>
        </w:rPr>
      </w:pPr>
      <w:r>
        <w:rPr>
          <w:rFonts w:eastAsia="仿宋_GB2312"/>
          <w:sz w:val="32"/>
          <w:szCs w:val="32"/>
        </w:rPr>
        <w:t>（二）有关内幕信息知情人已书面承诺保密；</w:t>
      </w:r>
    </w:p>
    <w:p w14:paraId="758FC4A8">
      <w:pPr>
        <w:tabs>
          <w:tab w:val="left" w:pos="1134"/>
        </w:tabs>
        <w:spacing w:line="560" w:lineRule="exact"/>
        <w:ind w:firstLine="640" w:firstLineChars="200"/>
        <w:rPr>
          <w:rFonts w:eastAsia="仿宋_GB2312"/>
          <w:sz w:val="32"/>
          <w:szCs w:val="32"/>
        </w:rPr>
      </w:pPr>
      <w:r>
        <w:rPr>
          <w:rFonts w:eastAsia="仿宋_GB2312"/>
          <w:sz w:val="32"/>
          <w:szCs w:val="32"/>
        </w:rPr>
        <w:t>（三）不动产基金交易未发生异常波动。</w:t>
      </w:r>
    </w:p>
    <w:p w14:paraId="61CAFE2A">
      <w:pPr>
        <w:tabs>
          <w:tab w:val="left" w:pos="1134"/>
        </w:tabs>
        <w:spacing w:line="560" w:lineRule="exact"/>
        <w:ind w:firstLine="640" w:firstLineChars="200"/>
        <w:rPr>
          <w:rFonts w:eastAsia="仿宋_GB2312"/>
          <w:sz w:val="32"/>
          <w:szCs w:val="32"/>
        </w:rPr>
      </w:pPr>
      <w:r>
        <w:rPr>
          <w:rFonts w:eastAsia="仿宋_GB2312"/>
          <w:sz w:val="32"/>
          <w:szCs w:val="32"/>
        </w:rPr>
        <w:t>信息披露义务人应当审慎确定信息披露暂缓事项，建立相应的内部管理制度，明确信息披露暂缓的内部审核程序。本所对暂缓披露实行事后监管。</w:t>
      </w:r>
    </w:p>
    <w:p w14:paraId="48CF22CD">
      <w:pPr>
        <w:tabs>
          <w:tab w:val="left" w:pos="1134"/>
        </w:tabs>
        <w:spacing w:line="560" w:lineRule="exact"/>
        <w:ind w:firstLine="640" w:firstLineChars="200"/>
        <w:rPr>
          <w:rFonts w:eastAsia="仿宋_GB2312"/>
          <w:sz w:val="32"/>
          <w:szCs w:val="32"/>
        </w:rPr>
      </w:pPr>
      <w:r>
        <w:rPr>
          <w:rFonts w:eastAsia="仿宋_GB2312"/>
          <w:sz w:val="32"/>
          <w:szCs w:val="32"/>
        </w:rPr>
        <w:t>暂缓披露的信息确实难以保密、已经泄漏或者出现市场传闻，导致不动产基金交易价格发生大幅波动的，信息披露义务人应当立即</w:t>
      </w:r>
      <w:r>
        <w:rPr>
          <w:rFonts w:hint="eastAsia" w:eastAsia="仿宋_GB2312"/>
          <w:sz w:val="32"/>
          <w:szCs w:val="32"/>
        </w:rPr>
        <w:t>予以</w:t>
      </w:r>
      <w:r>
        <w:rPr>
          <w:rFonts w:eastAsia="仿宋_GB2312"/>
          <w:sz w:val="32"/>
          <w:szCs w:val="32"/>
        </w:rPr>
        <w:t>披露。</w:t>
      </w:r>
    </w:p>
    <w:p w14:paraId="5D9E3A25">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第四十四条 </w:t>
      </w:r>
      <w:r>
        <w:rPr>
          <w:rFonts w:eastAsia="仿宋_GB2312"/>
          <w:sz w:val="32"/>
          <w:szCs w:val="32"/>
        </w:rPr>
        <w:t>基金管理人</w:t>
      </w:r>
      <w:r>
        <w:rPr>
          <w:rFonts w:hint="eastAsia" w:eastAsia="仿宋_GB2312"/>
          <w:sz w:val="32"/>
          <w:szCs w:val="32"/>
        </w:rPr>
        <w:t>、</w:t>
      </w:r>
      <w:r>
        <w:rPr>
          <w:rFonts w:eastAsia="仿宋_GB2312"/>
          <w:sz w:val="32"/>
          <w:szCs w:val="32"/>
        </w:rPr>
        <w:t>资产支持证券管理人以外的其他业务参与机构和信息披露义务人应当按照规定</w:t>
      </w:r>
      <w:r>
        <w:rPr>
          <w:rFonts w:hint="eastAsia" w:eastAsia="仿宋_GB2312"/>
          <w:sz w:val="32"/>
          <w:szCs w:val="32"/>
        </w:rPr>
        <w:t>以</w:t>
      </w:r>
      <w:r>
        <w:rPr>
          <w:rFonts w:eastAsia="仿宋_GB2312"/>
          <w:sz w:val="32"/>
          <w:szCs w:val="32"/>
        </w:rPr>
        <w:t>及约定及时向基金管理人、资产支持证券管理人提供有关</w:t>
      </w:r>
      <w:r>
        <w:rPr>
          <w:rFonts w:hint="eastAsia" w:eastAsia="仿宋_GB2312"/>
          <w:sz w:val="32"/>
          <w:szCs w:val="32"/>
        </w:rPr>
        <w:t>材料</w:t>
      </w:r>
      <w:r>
        <w:rPr>
          <w:rFonts w:eastAsia="仿宋_GB2312"/>
          <w:sz w:val="32"/>
          <w:szCs w:val="32"/>
        </w:rPr>
        <w:t>。</w:t>
      </w:r>
    </w:p>
    <w:p w14:paraId="1526DE72">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第四十五条 </w:t>
      </w:r>
      <w:r>
        <w:rPr>
          <w:rFonts w:eastAsia="仿宋_GB2312"/>
          <w:sz w:val="32"/>
          <w:szCs w:val="32"/>
        </w:rPr>
        <w:t>本所对公开披露的基金信息以及在符合规定的网站或者定向披露的不动产资产支持证券信息进行事前核对或者事前登记、事后核对，对</w:t>
      </w:r>
      <w:r>
        <w:rPr>
          <w:rFonts w:hint="eastAsia" w:eastAsia="仿宋_GB2312"/>
          <w:sz w:val="32"/>
          <w:szCs w:val="32"/>
        </w:rPr>
        <w:t>上述</w:t>
      </w:r>
      <w:r>
        <w:rPr>
          <w:rFonts w:eastAsia="仿宋_GB2312"/>
          <w:sz w:val="32"/>
          <w:szCs w:val="32"/>
        </w:rPr>
        <w:t>内容的真实性、准确性和完整性不承担责任。</w:t>
      </w:r>
    </w:p>
    <w:p w14:paraId="7680EB80">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第四十六条 </w:t>
      </w:r>
      <w:r>
        <w:rPr>
          <w:rFonts w:eastAsia="仿宋_GB2312"/>
          <w:sz w:val="32"/>
          <w:szCs w:val="32"/>
        </w:rPr>
        <w:t>信息披露义务人、业务参与机构、专业机构</w:t>
      </w:r>
      <w:r>
        <w:rPr>
          <w:rFonts w:hint="eastAsia" w:eastAsia="仿宋_GB2312"/>
          <w:sz w:val="32"/>
          <w:szCs w:val="32"/>
        </w:rPr>
        <w:t>以及其他有</w:t>
      </w:r>
      <w:r>
        <w:rPr>
          <w:rFonts w:eastAsia="仿宋_GB2312"/>
          <w:sz w:val="32"/>
          <w:szCs w:val="32"/>
        </w:rPr>
        <w:t>关知情人在信息披露前不得泄露拟披露的信息。</w:t>
      </w:r>
    </w:p>
    <w:p w14:paraId="070C33CA">
      <w:pPr>
        <w:pStyle w:val="54"/>
        <w:numPr>
          <w:ilvl w:val="0"/>
          <w:numId w:val="0"/>
        </w:numPr>
        <w:spacing w:line="560" w:lineRule="exact"/>
        <w:ind w:left="0" w:leftChars="0" w:firstLine="643" w:firstLineChars="200"/>
        <w:rPr>
          <w:rFonts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第四十七条 </w:t>
      </w:r>
      <w:r>
        <w:rPr>
          <w:rFonts w:eastAsia="仿宋_GB2312"/>
          <w:sz w:val="32"/>
          <w:szCs w:val="32"/>
        </w:rPr>
        <w:t>基金合同应当约定基金份额持有人大会会议规则，包括但不限于审议事项范围、召集程序、表决机制。</w:t>
      </w:r>
    </w:p>
    <w:p w14:paraId="7AAAC79D">
      <w:pPr>
        <w:spacing w:line="560" w:lineRule="exact"/>
        <w:ind w:firstLine="640" w:firstLineChars="200"/>
        <w:rPr>
          <w:rFonts w:eastAsia="仿宋_GB2312"/>
          <w:sz w:val="32"/>
          <w:szCs w:val="32"/>
        </w:rPr>
      </w:pPr>
      <w:r>
        <w:rPr>
          <w:rFonts w:eastAsia="仿宋_GB2312"/>
          <w:sz w:val="32"/>
          <w:szCs w:val="32"/>
        </w:rPr>
        <w:t>召开基金份额持有人大会的，召集人应当披露基金份额持有人大会的召开时间、会议形式、审议事项、议事程序、表决方式</w:t>
      </w:r>
      <w:r>
        <w:rPr>
          <w:rFonts w:hint="eastAsia" w:eastAsia="仿宋_GB2312"/>
          <w:sz w:val="32"/>
          <w:szCs w:val="32"/>
        </w:rPr>
        <w:t>以</w:t>
      </w:r>
      <w:r>
        <w:rPr>
          <w:rFonts w:eastAsia="仿宋_GB2312"/>
          <w:sz w:val="32"/>
          <w:szCs w:val="32"/>
        </w:rPr>
        <w:t>及决议结果等事项。召集人应当聘请律师事务所对上述事项出具法律意见，并与持有人大会决议一并披露。</w:t>
      </w:r>
    </w:p>
    <w:p w14:paraId="5E8C1C47">
      <w:pPr>
        <w:spacing w:line="560" w:lineRule="exact"/>
        <w:ind w:firstLine="640" w:firstLineChars="200"/>
        <w:rPr>
          <w:rFonts w:eastAsia="仿宋_GB2312"/>
          <w:sz w:val="32"/>
          <w:szCs w:val="32"/>
        </w:rPr>
      </w:pPr>
      <w:r>
        <w:rPr>
          <w:rFonts w:hint="eastAsia" w:eastAsia="仿宋_GB2312"/>
          <w:sz w:val="32"/>
          <w:szCs w:val="32"/>
        </w:rPr>
        <w:t>召开基金份额持有人大会的，基金管理人、基金销售机构以及本所会员等有关机构应当及时告知投资者基金份额持有人大会相关事宜。</w:t>
      </w:r>
    </w:p>
    <w:p w14:paraId="3BAE08AE">
      <w:pPr>
        <w:pStyle w:val="54"/>
        <w:numPr>
          <w:ilvl w:val="0"/>
          <w:numId w:val="0"/>
        </w:numPr>
        <w:spacing w:line="560" w:lineRule="exact"/>
        <w:ind w:left="0" w:leftChars="0" w:firstLine="643" w:firstLineChars="200"/>
        <w:rPr>
          <w:rFonts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第四十八条 </w:t>
      </w:r>
      <w:r>
        <w:rPr>
          <w:rFonts w:eastAsia="仿宋_GB2312"/>
          <w:sz w:val="32"/>
          <w:szCs w:val="32"/>
        </w:rPr>
        <w:t>基金管理人应当根据不动产基金的特点，在基金合同中明确约定包括但不限于不动产项目无法维持正常、持续运营，难以再产生持续、稳定现金流等基金合同终止情形。触发基金合同终止情形的，基金管理人应当按照法律法规规定和基金合同约定办理基金清算。</w:t>
      </w:r>
    </w:p>
    <w:p w14:paraId="5026FC7E">
      <w:pPr>
        <w:spacing w:line="560" w:lineRule="exact"/>
        <w:ind w:firstLine="640" w:firstLineChars="200"/>
        <w:jc w:val="left"/>
        <w:rPr>
          <w:rFonts w:eastAsia="仿宋_GB2312"/>
          <w:sz w:val="32"/>
          <w:szCs w:val="32"/>
        </w:rPr>
      </w:pPr>
      <w:r>
        <w:rPr>
          <w:rFonts w:eastAsia="仿宋_GB2312"/>
          <w:sz w:val="32"/>
          <w:szCs w:val="32"/>
        </w:rPr>
        <w:t>涉及不动产项目处置的，应当遵循份额持有人利益优先的原则，资产支持证券管理人应当配合基金管理人按照有关规定和约定进行资产处置，并尽快完成剩余财产分配。</w:t>
      </w:r>
    </w:p>
    <w:p w14:paraId="41C59D98">
      <w:pPr>
        <w:spacing w:line="560" w:lineRule="exact"/>
        <w:ind w:firstLine="640" w:firstLineChars="200"/>
        <w:jc w:val="left"/>
        <w:rPr>
          <w:rFonts w:eastAsia="仿宋_GB2312"/>
          <w:sz w:val="32"/>
          <w:szCs w:val="32"/>
        </w:rPr>
      </w:pPr>
      <w:r>
        <w:rPr>
          <w:rFonts w:eastAsia="仿宋_GB2312"/>
          <w:sz w:val="32"/>
          <w:szCs w:val="32"/>
        </w:rPr>
        <w:t>资产处置期间，基金管理人、资产支持证券管理人应当按照有关规定和约定履行信息披露义务。</w:t>
      </w:r>
    </w:p>
    <w:p w14:paraId="79600CEA">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第四十九条 </w:t>
      </w:r>
      <w:r>
        <w:rPr>
          <w:rFonts w:eastAsia="仿宋_GB2312"/>
          <w:sz w:val="32"/>
          <w:szCs w:val="32"/>
        </w:rPr>
        <w:t>不动产基金的停牌、复牌、终止上市等应当按照本所</w:t>
      </w:r>
      <w:r>
        <w:rPr>
          <w:rFonts w:hint="eastAsia" w:eastAsia="仿宋_GB2312"/>
          <w:sz w:val="32"/>
          <w:szCs w:val="32"/>
        </w:rPr>
        <w:t>《证券投资基金上市规则》以</w:t>
      </w:r>
      <w:r>
        <w:rPr>
          <w:rFonts w:eastAsia="仿宋_GB2312"/>
          <w:sz w:val="32"/>
          <w:szCs w:val="32"/>
        </w:rPr>
        <w:t>及其他</w:t>
      </w:r>
      <w:r>
        <w:rPr>
          <w:rFonts w:hint="eastAsia" w:eastAsia="仿宋_GB2312"/>
          <w:sz w:val="32"/>
          <w:szCs w:val="32"/>
        </w:rPr>
        <w:t>有</w:t>
      </w:r>
      <w:r>
        <w:rPr>
          <w:rFonts w:eastAsia="仿宋_GB2312"/>
          <w:sz w:val="32"/>
          <w:szCs w:val="32"/>
        </w:rPr>
        <w:t>关规定执行。</w:t>
      </w:r>
    </w:p>
    <w:p w14:paraId="6EB8CDAF">
      <w:pPr>
        <w:numPr>
          <w:ilvl w:val="255"/>
          <w:numId w:val="0"/>
        </w:numPr>
        <w:spacing w:line="560" w:lineRule="exact"/>
        <w:ind w:firstLine="640" w:firstLineChars="200"/>
        <w:rPr>
          <w:rFonts w:eastAsia="仿宋_GB2312"/>
          <w:sz w:val="32"/>
          <w:szCs w:val="32"/>
        </w:rPr>
      </w:pPr>
      <w:r>
        <w:rPr>
          <w:rFonts w:hint="eastAsia" w:eastAsia="仿宋_GB2312"/>
          <w:sz w:val="32"/>
          <w:szCs w:val="32"/>
        </w:rPr>
        <w:t>不动产基金应当严格按照法律法规进行收益分配，连续2年未按照规定进行收益分配的，基金管理人应当申请不动产基金终止上市。</w:t>
      </w:r>
    </w:p>
    <w:p w14:paraId="25DCAE0C">
      <w:pPr>
        <w:spacing w:line="560" w:lineRule="exact"/>
        <w:ind w:firstLine="198"/>
        <w:jc w:val="center"/>
        <w:rPr>
          <w:rFonts w:ascii="楷体_GB2312" w:eastAsia="楷体_GB2312"/>
          <w:bCs/>
          <w:sz w:val="32"/>
          <w:szCs w:val="32"/>
        </w:rPr>
      </w:pPr>
      <w:r>
        <w:rPr>
          <w:rFonts w:hint="eastAsia" w:ascii="楷体_GB2312" w:eastAsia="楷体_GB2312"/>
          <w:bCs/>
          <w:sz w:val="32"/>
          <w:szCs w:val="32"/>
        </w:rPr>
        <w:t>第二节 新购入不动产项目</w:t>
      </w:r>
    </w:p>
    <w:p w14:paraId="4B14E225">
      <w:pPr>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第五十条 </w:t>
      </w:r>
      <w:r>
        <w:rPr>
          <w:rFonts w:eastAsia="仿宋_GB2312"/>
          <w:sz w:val="32"/>
          <w:szCs w:val="32"/>
        </w:rPr>
        <w:t>不动产基金存续期间，基金管理人作出拟购入不动产项目决定的，应当及时编制并发布临时公告，披露拟购入不动产项目的</w:t>
      </w:r>
      <w:r>
        <w:rPr>
          <w:rFonts w:hint="eastAsia" w:eastAsia="仿宋_GB2312"/>
          <w:sz w:val="32"/>
          <w:szCs w:val="32"/>
        </w:rPr>
        <w:t>有关</w:t>
      </w:r>
      <w:r>
        <w:rPr>
          <w:rFonts w:eastAsia="仿宋_GB2312"/>
          <w:sz w:val="32"/>
          <w:szCs w:val="32"/>
        </w:rPr>
        <w:t>情况</w:t>
      </w:r>
      <w:r>
        <w:rPr>
          <w:rFonts w:hint="eastAsia" w:eastAsia="仿宋_GB2312"/>
          <w:sz w:val="32"/>
          <w:szCs w:val="32"/>
        </w:rPr>
        <w:t>以</w:t>
      </w:r>
      <w:r>
        <w:rPr>
          <w:rFonts w:eastAsia="仿宋_GB2312"/>
          <w:sz w:val="32"/>
          <w:szCs w:val="32"/>
        </w:rPr>
        <w:t>及安排。</w:t>
      </w:r>
    </w:p>
    <w:p w14:paraId="60EC156D">
      <w:pPr>
        <w:spacing w:line="560" w:lineRule="exact"/>
        <w:ind w:firstLine="640"/>
        <w:rPr>
          <w:rFonts w:eastAsia="仿宋_GB2312"/>
          <w:b/>
          <w:sz w:val="32"/>
          <w:szCs w:val="32"/>
        </w:rPr>
      </w:pPr>
      <w:r>
        <w:rPr>
          <w:rFonts w:eastAsia="仿宋_GB2312"/>
          <w:sz w:val="32"/>
          <w:szCs w:val="32"/>
        </w:rPr>
        <w:t>就拟购入不动产项目发布首次临时公告后，基金管理人应当定期发布进展公告，说明本次购入不动产项目的具体进展情况。若本次购入不动产项目发生重大进展或者重大变化，基金管理人应当及时披露。</w:t>
      </w:r>
    </w:p>
    <w:p w14:paraId="03EF8190">
      <w:pPr>
        <w:spacing w:line="560" w:lineRule="exact"/>
        <w:ind w:firstLine="640"/>
        <w:rPr>
          <w:rFonts w:eastAsia="仿宋_GB2312"/>
          <w:sz w:val="32"/>
          <w:szCs w:val="32"/>
        </w:rPr>
      </w:pPr>
      <w:r>
        <w:rPr>
          <w:rFonts w:eastAsia="仿宋_GB2312"/>
          <w:sz w:val="32"/>
          <w:szCs w:val="32"/>
        </w:rPr>
        <w:t>在购入不动产项目交易中</w:t>
      </w:r>
      <w:r>
        <w:rPr>
          <w:rFonts w:hint="eastAsia" w:eastAsia="仿宋_GB2312"/>
          <w:sz w:val="32"/>
          <w:szCs w:val="32"/>
        </w:rPr>
        <w:t>，</w:t>
      </w:r>
      <w:r>
        <w:rPr>
          <w:rFonts w:eastAsia="仿宋_GB2312"/>
          <w:sz w:val="32"/>
          <w:szCs w:val="32"/>
        </w:rPr>
        <w:t>基金管理人应当制定切实可行的保密措施</w:t>
      </w:r>
      <w:r>
        <w:rPr>
          <w:rFonts w:hint="eastAsia" w:eastAsia="仿宋_GB2312"/>
          <w:sz w:val="32"/>
          <w:szCs w:val="32"/>
        </w:rPr>
        <w:t>，</w:t>
      </w:r>
      <w:r>
        <w:rPr>
          <w:rFonts w:eastAsia="仿宋_GB2312"/>
          <w:sz w:val="32"/>
          <w:szCs w:val="32"/>
        </w:rPr>
        <w:t>严格履行保密义务。</w:t>
      </w:r>
    </w:p>
    <w:p w14:paraId="01DC0A02">
      <w:pPr>
        <w:spacing w:line="560" w:lineRule="exact"/>
        <w:ind w:firstLine="640"/>
        <w:rPr>
          <w:rFonts w:eastAsia="仿宋_GB2312"/>
          <w:sz w:val="32"/>
          <w:szCs w:val="32"/>
        </w:rPr>
      </w:pPr>
      <w:r>
        <w:rPr>
          <w:rFonts w:eastAsia="仿宋_GB2312"/>
          <w:sz w:val="32"/>
          <w:szCs w:val="32"/>
        </w:rPr>
        <w:t>涉及停复牌业务的，基金管理人应当按照本所</w:t>
      </w:r>
      <w:r>
        <w:rPr>
          <w:rFonts w:hint="eastAsia" w:eastAsia="仿宋_GB2312"/>
          <w:sz w:val="32"/>
          <w:szCs w:val="32"/>
        </w:rPr>
        <w:t>有</w:t>
      </w:r>
      <w:r>
        <w:rPr>
          <w:rFonts w:eastAsia="仿宋_GB2312"/>
          <w:sz w:val="32"/>
          <w:szCs w:val="32"/>
        </w:rPr>
        <w:t>关规定办理。</w:t>
      </w:r>
    </w:p>
    <w:p w14:paraId="5EADC4AE">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第五十一条 </w:t>
      </w:r>
      <w:r>
        <w:rPr>
          <w:rFonts w:eastAsia="仿宋_GB2312"/>
          <w:sz w:val="32"/>
          <w:szCs w:val="32"/>
        </w:rPr>
        <w:t>不动产基金存续期间拟购入不动产项目，基金管理人按照规定向中国证监会申请不动产基金变更注册的，基金管理人和资产支持证券管理人应当同时向本所提交</w:t>
      </w:r>
      <w:r>
        <w:rPr>
          <w:rFonts w:hint="eastAsia" w:eastAsia="仿宋_GB2312"/>
          <w:sz w:val="32"/>
          <w:szCs w:val="32"/>
        </w:rPr>
        <w:t>不动产</w:t>
      </w:r>
      <w:r>
        <w:rPr>
          <w:rFonts w:eastAsia="仿宋_GB2312"/>
          <w:sz w:val="32"/>
          <w:szCs w:val="32"/>
        </w:rPr>
        <w:t>基金产品变更申请和不动产资产支持证券</w:t>
      </w:r>
      <w:r>
        <w:rPr>
          <w:rFonts w:hint="eastAsia" w:eastAsia="仿宋_GB2312"/>
          <w:sz w:val="32"/>
          <w:szCs w:val="32"/>
        </w:rPr>
        <w:t>有关</w:t>
      </w:r>
      <w:r>
        <w:rPr>
          <w:rFonts w:eastAsia="仿宋_GB2312"/>
          <w:sz w:val="32"/>
          <w:szCs w:val="32"/>
        </w:rPr>
        <w:t>申请，由本所确认是否符合相关条件。</w:t>
      </w:r>
    </w:p>
    <w:p w14:paraId="551CD958">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第五十二条 </w:t>
      </w:r>
      <w:r>
        <w:rPr>
          <w:rFonts w:eastAsia="仿宋_GB2312"/>
          <w:sz w:val="32"/>
          <w:szCs w:val="32"/>
        </w:rPr>
        <w:t>基金管理人就拟购入不动产项目事宜申请不动产基金产品变更，应当向本所提交</w:t>
      </w:r>
      <w:r>
        <w:rPr>
          <w:rFonts w:hint="eastAsia" w:eastAsia="仿宋_GB2312"/>
          <w:sz w:val="32"/>
          <w:szCs w:val="32"/>
        </w:rPr>
        <w:t>下列</w:t>
      </w:r>
      <w:r>
        <w:rPr>
          <w:rFonts w:eastAsia="仿宋_GB2312"/>
          <w:sz w:val="32"/>
          <w:szCs w:val="32"/>
        </w:rPr>
        <w:t>文件：</w:t>
      </w:r>
    </w:p>
    <w:p w14:paraId="37093C75">
      <w:pPr>
        <w:spacing w:line="560" w:lineRule="exact"/>
        <w:ind w:firstLine="640" w:firstLineChars="200"/>
        <w:rPr>
          <w:rFonts w:eastAsia="仿宋_GB2312"/>
          <w:sz w:val="32"/>
          <w:szCs w:val="32"/>
        </w:rPr>
      </w:pPr>
      <w:r>
        <w:rPr>
          <w:rFonts w:eastAsia="仿宋_GB2312"/>
          <w:sz w:val="32"/>
          <w:szCs w:val="32"/>
        </w:rPr>
        <w:t>（一）产品变更申请；</w:t>
      </w:r>
    </w:p>
    <w:p w14:paraId="333557D5">
      <w:pPr>
        <w:spacing w:line="560" w:lineRule="exact"/>
        <w:ind w:firstLine="640" w:firstLineChars="200"/>
        <w:rPr>
          <w:rFonts w:eastAsia="仿宋_GB2312"/>
          <w:sz w:val="32"/>
          <w:szCs w:val="32"/>
        </w:rPr>
      </w:pPr>
      <w:r>
        <w:rPr>
          <w:rFonts w:eastAsia="仿宋_GB2312"/>
          <w:sz w:val="32"/>
          <w:szCs w:val="32"/>
        </w:rPr>
        <w:t>（二）产品变更方案；</w:t>
      </w:r>
    </w:p>
    <w:p w14:paraId="6E288D6E">
      <w:pPr>
        <w:spacing w:line="560" w:lineRule="exact"/>
        <w:ind w:firstLine="640" w:firstLineChars="200"/>
        <w:rPr>
          <w:rFonts w:eastAsia="仿宋_GB2312"/>
          <w:sz w:val="32"/>
          <w:szCs w:val="32"/>
        </w:rPr>
      </w:pPr>
      <w:r>
        <w:rPr>
          <w:rFonts w:eastAsia="仿宋_GB2312"/>
          <w:sz w:val="32"/>
          <w:szCs w:val="32"/>
        </w:rPr>
        <w:t>（三）本办法第十二条第一款第二项至第</w:t>
      </w:r>
      <w:r>
        <w:rPr>
          <w:rFonts w:hint="eastAsia" w:eastAsia="仿宋_GB2312"/>
          <w:sz w:val="32"/>
          <w:szCs w:val="32"/>
        </w:rPr>
        <w:t>十</w:t>
      </w:r>
      <w:r>
        <w:rPr>
          <w:rFonts w:eastAsia="仿宋_GB2312"/>
          <w:sz w:val="32"/>
          <w:szCs w:val="32"/>
        </w:rPr>
        <w:t>项规定的文件；</w:t>
      </w:r>
    </w:p>
    <w:p w14:paraId="3F5450B4">
      <w:pPr>
        <w:spacing w:line="560" w:lineRule="exact"/>
        <w:ind w:firstLine="640" w:firstLineChars="200"/>
        <w:rPr>
          <w:rFonts w:eastAsia="仿宋_GB2312"/>
          <w:sz w:val="32"/>
          <w:szCs w:val="32"/>
        </w:rPr>
      </w:pPr>
      <w:r>
        <w:rPr>
          <w:rFonts w:eastAsia="仿宋_GB2312"/>
          <w:sz w:val="32"/>
          <w:szCs w:val="32"/>
        </w:rPr>
        <w:t>（四）本所要求的其他材料。</w:t>
      </w:r>
    </w:p>
    <w:p w14:paraId="474E0C12">
      <w:pPr>
        <w:spacing w:line="560" w:lineRule="exact"/>
        <w:ind w:firstLine="640" w:firstLineChars="200"/>
        <w:rPr>
          <w:rFonts w:eastAsia="仿宋_GB2312"/>
          <w:sz w:val="32"/>
          <w:szCs w:val="32"/>
        </w:rPr>
      </w:pPr>
      <w:r>
        <w:rPr>
          <w:rFonts w:eastAsia="仿宋_GB2312"/>
          <w:sz w:val="32"/>
          <w:szCs w:val="32"/>
        </w:rPr>
        <w:t>资产支持证券管理人应当按照本办法第十二条第二款规定同时向本所提交不动产资产支持证券的</w:t>
      </w:r>
      <w:r>
        <w:rPr>
          <w:rFonts w:hint="eastAsia" w:eastAsia="仿宋_GB2312"/>
          <w:sz w:val="32"/>
          <w:szCs w:val="32"/>
        </w:rPr>
        <w:t>有关</w:t>
      </w:r>
      <w:r>
        <w:rPr>
          <w:rFonts w:eastAsia="仿宋_GB2312"/>
          <w:sz w:val="32"/>
          <w:szCs w:val="32"/>
        </w:rPr>
        <w:t>申请材料。</w:t>
      </w:r>
    </w:p>
    <w:p w14:paraId="18B39D68">
      <w:pPr>
        <w:spacing w:line="560" w:lineRule="exact"/>
        <w:ind w:firstLine="640" w:firstLineChars="200"/>
        <w:rPr>
          <w:rFonts w:eastAsia="仿宋_GB2312"/>
          <w:sz w:val="32"/>
          <w:szCs w:val="32"/>
        </w:rPr>
      </w:pPr>
      <w:r>
        <w:rPr>
          <w:rFonts w:eastAsia="仿宋_GB2312"/>
          <w:sz w:val="32"/>
          <w:szCs w:val="32"/>
        </w:rPr>
        <w:t>本所按照不动产基金产品首次发售的</w:t>
      </w:r>
      <w:r>
        <w:rPr>
          <w:rFonts w:hint="eastAsia" w:eastAsia="仿宋_GB2312"/>
          <w:sz w:val="32"/>
          <w:szCs w:val="32"/>
        </w:rPr>
        <w:t>有</w:t>
      </w:r>
      <w:r>
        <w:rPr>
          <w:rFonts w:eastAsia="仿宋_GB2312"/>
          <w:sz w:val="32"/>
          <w:szCs w:val="32"/>
        </w:rPr>
        <w:t>关工作程序，对不动产基金产品变更和不动产资产支持证券是否符合条件进行审核，根据评议结果出具不动产基金产品变更以及不动产资产支持证券符合本所</w:t>
      </w:r>
      <w:r>
        <w:rPr>
          <w:rFonts w:hint="eastAsia" w:eastAsia="仿宋_GB2312"/>
          <w:sz w:val="32"/>
          <w:szCs w:val="32"/>
        </w:rPr>
        <w:t>有</w:t>
      </w:r>
      <w:r>
        <w:rPr>
          <w:rFonts w:eastAsia="仿宋_GB2312"/>
          <w:sz w:val="32"/>
          <w:szCs w:val="32"/>
        </w:rPr>
        <w:t>关要求的无异议函或者作出终止审核的决定，并通知基金管理人和资产支持证券管理人。</w:t>
      </w:r>
    </w:p>
    <w:p w14:paraId="76C173A3">
      <w:pPr>
        <w:pStyle w:val="54"/>
        <w:numPr>
          <w:ilvl w:val="0"/>
          <w:numId w:val="0"/>
        </w:numPr>
        <w:spacing w:line="56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第五十三条 </w:t>
      </w:r>
      <w:r>
        <w:rPr>
          <w:rFonts w:eastAsia="仿宋_GB2312"/>
          <w:sz w:val="32"/>
          <w:szCs w:val="32"/>
        </w:rPr>
        <w:t>不动产基金按照规定或者基金合同约定就购入不动产项目事项召开基金份额持有人大会的，</w:t>
      </w:r>
      <w:r>
        <w:rPr>
          <w:rFonts w:hint="eastAsia" w:eastAsia="仿宋_GB2312"/>
          <w:sz w:val="32"/>
          <w:szCs w:val="32"/>
        </w:rPr>
        <w:t>有</w:t>
      </w:r>
      <w:r>
        <w:rPr>
          <w:rFonts w:eastAsia="仿宋_GB2312"/>
          <w:sz w:val="32"/>
          <w:szCs w:val="32"/>
        </w:rPr>
        <w:t>关信息披露义务人应当按照</w:t>
      </w:r>
      <w:r>
        <w:rPr>
          <w:rFonts w:hint="eastAsia" w:eastAsia="仿宋_GB2312"/>
          <w:sz w:val="32"/>
          <w:szCs w:val="32"/>
        </w:rPr>
        <w:t>有关</w:t>
      </w:r>
      <w:r>
        <w:rPr>
          <w:rFonts w:eastAsia="仿宋_GB2312"/>
          <w:sz w:val="32"/>
          <w:szCs w:val="32"/>
        </w:rPr>
        <w:t>规定公告</w:t>
      </w:r>
      <w:r>
        <w:rPr>
          <w:rFonts w:hint="eastAsia" w:eastAsia="仿宋_GB2312"/>
          <w:sz w:val="32"/>
          <w:szCs w:val="32"/>
        </w:rPr>
        <w:t>基金份额</w:t>
      </w:r>
      <w:r>
        <w:rPr>
          <w:rFonts w:eastAsia="仿宋_GB2312"/>
          <w:sz w:val="32"/>
          <w:szCs w:val="32"/>
        </w:rPr>
        <w:t>持有人大会事项，披露拟购入不动产项目事项的详细方案</w:t>
      </w:r>
      <w:r>
        <w:rPr>
          <w:rFonts w:hint="eastAsia" w:eastAsia="仿宋_GB2312"/>
          <w:sz w:val="32"/>
          <w:szCs w:val="32"/>
        </w:rPr>
        <w:t>以</w:t>
      </w:r>
      <w:r>
        <w:rPr>
          <w:rFonts w:eastAsia="仿宋_GB2312"/>
          <w:sz w:val="32"/>
          <w:szCs w:val="32"/>
        </w:rPr>
        <w:t>及法律意见书等文件。涉及扩募的，还应当披露扩募发售价格确定方式。</w:t>
      </w:r>
    </w:p>
    <w:p w14:paraId="7B1DD650">
      <w:pPr>
        <w:pStyle w:val="54"/>
        <w:numPr>
          <w:ilvl w:val="0"/>
          <w:numId w:val="0"/>
        </w:numPr>
        <w:spacing w:line="560" w:lineRule="exact"/>
        <w:ind w:left="0" w:leftChars="0" w:firstLine="643" w:firstLineChars="200"/>
        <w:rPr>
          <w:rFonts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第五十四条 </w:t>
      </w:r>
      <w:r>
        <w:rPr>
          <w:rFonts w:eastAsia="仿宋_GB2312"/>
          <w:sz w:val="32"/>
          <w:szCs w:val="32"/>
        </w:rPr>
        <w:t>不动产基金存续期间购入不动产项目完成后，涉及扩募基金份额上市的，依</w:t>
      </w:r>
      <w:r>
        <w:rPr>
          <w:rFonts w:hint="eastAsia" w:eastAsia="仿宋_GB2312"/>
          <w:sz w:val="32"/>
          <w:szCs w:val="32"/>
        </w:rPr>
        <w:t>据</w:t>
      </w:r>
      <w:r>
        <w:rPr>
          <w:rFonts w:eastAsia="仿宋_GB2312"/>
          <w:sz w:val="32"/>
          <w:szCs w:val="32"/>
        </w:rPr>
        <w:t>基金管理人申请，本所安排新增基金份额上市；涉及不动产资产支持证券挂牌的，参照本办法第三章的有关规定办理。</w:t>
      </w:r>
    </w:p>
    <w:p w14:paraId="5541BE56">
      <w:pPr>
        <w:spacing w:line="560" w:lineRule="exact"/>
        <w:ind w:firstLine="198"/>
        <w:jc w:val="center"/>
        <w:rPr>
          <w:rFonts w:ascii="楷体_GB2312" w:eastAsia="楷体_GB2312"/>
          <w:bCs/>
          <w:sz w:val="32"/>
          <w:szCs w:val="32"/>
        </w:rPr>
      </w:pPr>
      <w:r>
        <w:rPr>
          <w:rFonts w:hint="eastAsia" w:ascii="楷体_GB2312" w:eastAsia="楷体_GB2312"/>
          <w:bCs/>
          <w:sz w:val="32"/>
          <w:szCs w:val="32"/>
        </w:rPr>
        <w:t>第三节 不动产基金的收购和份额权益变动</w:t>
      </w:r>
    </w:p>
    <w:p w14:paraId="17BB58AD">
      <w:pPr>
        <w:pStyle w:val="54"/>
        <w:numPr>
          <w:ilvl w:val="0"/>
          <w:numId w:val="0"/>
        </w:numPr>
        <w:spacing w:line="560" w:lineRule="exact"/>
        <w:ind w:left="0" w:leftChars="0" w:firstLine="643" w:firstLineChars="200"/>
        <w:rPr>
          <w:rFonts w:ascii="仿宋_GB2312" w:eastAsia="仿宋_GB2312"/>
          <w:b/>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第五十五条 </w:t>
      </w:r>
      <w:r>
        <w:rPr>
          <w:rFonts w:hint="eastAsia" w:eastAsia="仿宋_GB2312"/>
          <w:sz w:val="32"/>
          <w:szCs w:val="32"/>
        </w:rPr>
        <w:t>涉及</w:t>
      </w:r>
      <w:r>
        <w:rPr>
          <w:rFonts w:eastAsia="仿宋_GB2312"/>
          <w:sz w:val="32"/>
          <w:szCs w:val="32"/>
        </w:rPr>
        <w:t>不动产基金的收购</w:t>
      </w:r>
      <w:r>
        <w:rPr>
          <w:rFonts w:hint="eastAsia" w:eastAsia="仿宋_GB2312"/>
          <w:sz w:val="32"/>
          <w:szCs w:val="32"/>
        </w:rPr>
        <w:t>和</w:t>
      </w:r>
      <w:r>
        <w:rPr>
          <w:rFonts w:eastAsia="仿宋_GB2312"/>
          <w:sz w:val="32"/>
          <w:szCs w:val="32"/>
        </w:rPr>
        <w:t>份额权益变动活动</w:t>
      </w:r>
      <w:r>
        <w:rPr>
          <w:rFonts w:hint="eastAsia" w:eastAsia="仿宋_GB2312"/>
          <w:sz w:val="32"/>
          <w:szCs w:val="32"/>
        </w:rPr>
        <w:t>的</w:t>
      </w:r>
      <w:r>
        <w:rPr>
          <w:rFonts w:eastAsia="仿宋_GB2312"/>
          <w:sz w:val="32"/>
          <w:szCs w:val="32"/>
        </w:rPr>
        <w:t>，</w:t>
      </w:r>
      <w:r>
        <w:rPr>
          <w:rFonts w:hint="eastAsia" w:ascii="仿宋_GB2312" w:eastAsia="仿宋_GB2312"/>
          <w:sz w:val="32"/>
          <w:szCs w:val="32"/>
        </w:rPr>
        <w:t>当事人应当按照本办法规定履行相应的程序或者义务。本办法未作规定的其他事项，当事人应当参照中国证监会《上市公司收购管理办法》《上海证券交易所股票上市规则》以及其他关于上市公司收购和股份权益变动的规定履行相应的程序或者义务；对于确不适用的事项，当事人可以说明理由，免于履行有关程序或者义务。</w:t>
      </w:r>
    </w:p>
    <w:p w14:paraId="71930E15">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第五十六条 </w:t>
      </w:r>
      <w:r>
        <w:rPr>
          <w:rFonts w:hint="eastAsia" w:ascii="仿宋_GB2312" w:eastAsia="仿宋_GB2312"/>
          <w:sz w:val="32"/>
          <w:szCs w:val="32"/>
        </w:rPr>
        <w:t>通过本所交易或者本所认可的其他方式，投资者及其一致行动人拥有权益的基金份额达到一只不动产基金份额的</w:t>
      </w:r>
      <w:r>
        <w:rPr>
          <w:rFonts w:hint="eastAsia" w:eastAsia="仿宋_GB2312"/>
          <w:sz w:val="32"/>
          <w:szCs w:val="32"/>
        </w:rPr>
        <w:t>10%</w:t>
      </w:r>
      <w:r>
        <w:rPr>
          <w:rFonts w:hint="eastAsia" w:ascii="仿宋_GB2312" w:eastAsia="仿宋_GB2312"/>
          <w:sz w:val="32"/>
          <w:szCs w:val="32"/>
        </w:rPr>
        <w:t>时，应当在该事实发生之日起</w:t>
      </w:r>
      <w:r>
        <w:rPr>
          <w:rFonts w:hint="eastAsia" w:eastAsia="仿宋_GB2312"/>
          <w:sz w:val="32"/>
          <w:szCs w:val="32"/>
        </w:rPr>
        <w:t>3</w:t>
      </w:r>
      <w:r>
        <w:rPr>
          <w:rFonts w:hint="eastAsia" w:ascii="仿宋_GB2312" w:eastAsia="仿宋_GB2312"/>
          <w:sz w:val="32"/>
          <w:szCs w:val="32"/>
        </w:rPr>
        <w:t>日内编制权益变动报告书，通知该不动产基金的基金管理人，并予公告；在上述期限内，不得再行买卖该不动产基金的份额。</w:t>
      </w:r>
    </w:p>
    <w:p w14:paraId="00D9FAD0">
      <w:pPr>
        <w:spacing w:line="560" w:lineRule="exact"/>
        <w:ind w:firstLine="640" w:firstLineChars="200"/>
        <w:rPr>
          <w:rFonts w:ascii="仿宋_GB2312" w:eastAsia="仿宋_GB2312"/>
          <w:color w:val="000000"/>
          <w:kern w:val="0"/>
          <w:sz w:val="32"/>
          <w:szCs w:val="32"/>
        </w:rPr>
      </w:pPr>
      <w:r>
        <w:rPr>
          <w:rFonts w:hint="eastAsia" w:ascii="仿宋_GB2312" w:eastAsia="仿宋_GB2312"/>
          <w:sz w:val="32"/>
          <w:szCs w:val="32"/>
        </w:rPr>
        <w:t>投资者及其一致行动人拥有权益的基金份额达到一只不动产基金份额的</w:t>
      </w:r>
      <w:r>
        <w:rPr>
          <w:rFonts w:hint="eastAsia" w:eastAsia="仿宋_GB2312"/>
          <w:sz w:val="32"/>
          <w:szCs w:val="32"/>
        </w:rPr>
        <w:t>10%</w:t>
      </w:r>
      <w:r>
        <w:rPr>
          <w:rFonts w:hint="eastAsia" w:ascii="仿宋_GB2312" w:eastAsia="仿宋_GB2312"/>
          <w:sz w:val="32"/>
          <w:szCs w:val="32"/>
        </w:rPr>
        <w:t>后，</w:t>
      </w:r>
      <w:r>
        <w:rPr>
          <w:rFonts w:hint="eastAsia" w:ascii="仿宋_GB2312" w:eastAsia="仿宋_GB2312"/>
          <w:color w:val="000000"/>
          <w:kern w:val="0"/>
          <w:sz w:val="32"/>
          <w:szCs w:val="32"/>
        </w:rPr>
        <w:t>其</w:t>
      </w:r>
      <w:r>
        <w:rPr>
          <w:rFonts w:hint="eastAsia" w:ascii="仿宋_GB2312" w:eastAsia="仿宋_GB2312"/>
          <w:sz w:val="32"/>
          <w:szCs w:val="32"/>
        </w:rPr>
        <w:t>通过本所交易</w:t>
      </w:r>
      <w:r>
        <w:rPr>
          <w:rFonts w:hint="eastAsia" w:ascii="仿宋_GB2312" w:eastAsia="仿宋_GB2312"/>
          <w:color w:val="000000"/>
          <w:kern w:val="0"/>
          <w:sz w:val="32"/>
          <w:szCs w:val="32"/>
        </w:rPr>
        <w:t>拥有权益的基金份额占该不动产基金份额的比例每增加或者减少</w:t>
      </w:r>
      <w:r>
        <w:rPr>
          <w:rFonts w:hint="eastAsia" w:eastAsia="仿宋_GB2312"/>
          <w:color w:val="000000"/>
          <w:kern w:val="0"/>
          <w:sz w:val="32"/>
          <w:szCs w:val="32"/>
        </w:rPr>
        <w:t>5%</w:t>
      </w:r>
      <w:r>
        <w:rPr>
          <w:rFonts w:hint="eastAsia" w:ascii="仿宋_GB2312" w:eastAsia="仿宋_GB2312"/>
          <w:color w:val="000000"/>
          <w:kern w:val="0"/>
          <w:sz w:val="32"/>
          <w:szCs w:val="32"/>
        </w:rPr>
        <w:t>，应当依照前款规定进行通知和公告。在该事实发生之日起至公告后</w:t>
      </w:r>
      <w:r>
        <w:rPr>
          <w:rFonts w:hint="eastAsia" w:eastAsia="仿宋_GB2312"/>
          <w:color w:val="000000"/>
          <w:kern w:val="0"/>
          <w:sz w:val="32"/>
          <w:szCs w:val="32"/>
        </w:rPr>
        <w:t>3</w:t>
      </w:r>
      <w:r>
        <w:rPr>
          <w:rFonts w:hint="eastAsia" w:ascii="仿宋_GB2312" w:eastAsia="仿宋_GB2312"/>
          <w:color w:val="000000"/>
          <w:kern w:val="0"/>
          <w:sz w:val="32"/>
          <w:szCs w:val="32"/>
        </w:rPr>
        <w:t>日内，不得再行买卖该不动产基金的份额。</w:t>
      </w:r>
    </w:p>
    <w:p w14:paraId="02C8F295">
      <w:pPr>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基金合同中应当约定，投资者及其一致行动人同意在拥有基金份额时即视为承诺，若违反本条第一款、第二款的规定买入在不动产基金中拥有权益的基金份额的，在买入后的</w:t>
      </w:r>
      <w:r>
        <w:rPr>
          <w:rFonts w:hint="eastAsia" w:eastAsia="仿宋_GB2312"/>
          <w:color w:val="000000"/>
          <w:kern w:val="0"/>
          <w:sz w:val="32"/>
          <w:szCs w:val="32"/>
        </w:rPr>
        <w:t>36</w:t>
      </w:r>
      <w:r>
        <w:rPr>
          <w:rFonts w:hint="eastAsia" w:ascii="仿宋_GB2312" w:eastAsia="仿宋_GB2312"/>
          <w:color w:val="000000"/>
          <w:kern w:val="0"/>
          <w:sz w:val="32"/>
          <w:szCs w:val="32"/>
        </w:rPr>
        <w:t>个月内，对该超过规定比例部分的基金份额不行使表决权。</w:t>
      </w:r>
    </w:p>
    <w:p w14:paraId="47EDFB62">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第五十七条 </w:t>
      </w:r>
      <w:r>
        <w:rPr>
          <w:rFonts w:hint="eastAsia" w:ascii="仿宋_GB2312" w:eastAsia="仿宋_GB2312"/>
          <w:sz w:val="32"/>
          <w:szCs w:val="32"/>
        </w:rPr>
        <w:t>投资者及其一致行动人应当参照《上市公司收购管理办法》、中国证监会有关公开发行证券的公司权益变动报告书内容与格式的规定以及其他有关上市公司收购和股份权益变动的规定，编制相关份额权益变动报告书等信息披露文件并予公告。</w:t>
      </w:r>
    </w:p>
    <w:p w14:paraId="189B2244">
      <w:pPr>
        <w:pStyle w:val="54"/>
        <w:spacing w:line="560" w:lineRule="exact"/>
        <w:ind w:firstLine="640"/>
        <w:rPr>
          <w:rFonts w:ascii="仿宋_GB2312" w:eastAsia="仿宋_GB2312"/>
          <w:sz w:val="32"/>
          <w:szCs w:val="32"/>
        </w:rPr>
      </w:pPr>
      <w:r>
        <w:rPr>
          <w:rFonts w:hint="eastAsia" w:ascii="仿宋_GB2312" w:eastAsia="仿宋_GB2312"/>
          <w:sz w:val="32"/>
          <w:szCs w:val="32"/>
        </w:rPr>
        <w:t>投资者及其一致行动人拥有权益的不动产基金份额达到或者超过该不动产基金份额的</w:t>
      </w:r>
      <w:r>
        <w:rPr>
          <w:rFonts w:hint="eastAsia" w:eastAsia="仿宋_GB2312"/>
          <w:sz w:val="32"/>
          <w:szCs w:val="32"/>
        </w:rPr>
        <w:t>10%</w:t>
      </w:r>
      <w:r>
        <w:rPr>
          <w:rFonts w:hint="eastAsia" w:ascii="仿宋_GB2312" w:eastAsia="仿宋_GB2312"/>
          <w:sz w:val="32"/>
          <w:szCs w:val="32"/>
        </w:rPr>
        <w:t>但未达到</w:t>
      </w:r>
      <w:r>
        <w:rPr>
          <w:rFonts w:hint="eastAsia" w:eastAsia="仿宋_GB2312"/>
          <w:sz w:val="32"/>
          <w:szCs w:val="32"/>
        </w:rPr>
        <w:t>30%</w:t>
      </w:r>
      <w:r>
        <w:rPr>
          <w:rFonts w:hint="eastAsia" w:ascii="仿宋_GB2312" w:eastAsia="仿宋_GB2312"/>
          <w:sz w:val="32"/>
          <w:szCs w:val="32"/>
        </w:rPr>
        <w:t>的，应当参照《上市公司收购管理办法》第十六条规定编制权益变动报告书。</w:t>
      </w:r>
    </w:p>
    <w:p w14:paraId="62CF2656">
      <w:pPr>
        <w:pStyle w:val="54"/>
        <w:spacing w:line="560" w:lineRule="exact"/>
        <w:ind w:firstLine="640"/>
        <w:rPr>
          <w:rFonts w:ascii="仿宋_GB2312" w:eastAsia="仿宋_GB2312"/>
          <w:sz w:val="32"/>
          <w:szCs w:val="32"/>
        </w:rPr>
      </w:pPr>
      <w:r>
        <w:rPr>
          <w:rFonts w:hint="eastAsia" w:ascii="仿宋_GB2312" w:eastAsia="仿宋_GB2312"/>
          <w:sz w:val="32"/>
          <w:szCs w:val="32"/>
        </w:rPr>
        <w:t>投资者及其一致行动人拥有权益的不动产基金份额达到或者超过该不动产基金份额的</w:t>
      </w:r>
      <w:r>
        <w:rPr>
          <w:rFonts w:hint="eastAsia" w:eastAsia="仿宋_GB2312"/>
          <w:sz w:val="32"/>
          <w:szCs w:val="32"/>
        </w:rPr>
        <w:t>30%</w:t>
      </w:r>
      <w:r>
        <w:rPr>
          <w:rFonts w:hint="eastAsia" w:ascii="仿宋_GB2312" w:eastAsia="仿宋_GB2312"/>
          <w:sz w:val="32"/>
          <w:szCs w:val="32"/>
        </w:rPr>
        <w:t>但未超过</w:t>
      </w:r>
      <w:r>
        <w:rPr>
          <w:rFonts w:hint="eastAsia" w:eastAsia="仿宋_GB2312"/>
          <w:sz w:val="32"/>
          <w:szCs w:val="32"/>
        </w:rPr>
        <w:t>50%</w:t>
      </w:r>
      <w:r>
        <w:rPr>
          <w:rFonts w:hint="eastAsia" w:ascii="仿宋_GB2312" w:eastAsia="仿宋_GB2312"/>
          <w:sz w:val="32"/>
          <w:szCs w:val="32"/>
        </w:rPr>
        <w:t>的，应当参照《上市公司收购管理办法》第十七条规定编制权益变动报告书。</w:t>
      </w:r>
    </w:p>
    <w:p w14:paraId="66AD6E5F">
      <w:pPr>
        <w:pStyle w:val="54"/>
        <w:numPr>
          <w:ilvl w:val="0"/>
          <w:numId w:val="0"/>
        </w:numPr>
        <w:spacing w:line="56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第五十八条 </w:t>
      </w:r>
      <w:r>
        <w:rPr>
          <w:rFonts w:hint="eastAsia" w:ascii="仿宋_GB2312" w:eastAsia="仿宋_GB2312"/>
          <w:sz w:val="32"/>
          <w:szCs w:val="32"/>
        </w:rPr>
        <w:t>投资者及其一致行动人拥有权益的基金份额达到不动产基金份额的</w:t>
      </w:r>
      <w:r>
        <w:rPr>
          <w:rFonts w:hint="eastAsia" w:eastAsia="仿宋_GB2312"/>
          <w:sz w:val="32"/>
          <w:szCs w:val="32"/>
        </w:rPr>
        <w:t>50%</w:t>
      </w:r>
      <w:r>
        <w:rPr>
          <w:rFonts w:hint="eastAsia" w:ascii="仿宋_GB2312" w:eastAsia="仿宋_GB2312"/>
          <w:sz w:val="32"/>
          <w:szCs w:val="32"/>
        </w:rPr>
        <w:t>时，继续增持该不动产基金份额的，应当参照《上市公司收购管理办法》以及其他有关上市公司收购和股份权益变动的有关规定，采取要约方式进行并履行相应的程序或者义务，但符合本办法规定情形的可免于发出要约。</w:t>
      </w:r>
    </w:p>
    <w:p w14:paraId="4E98494E">
      <w:pPr>
        <w:pStyle w:val="54"/>
        <w:spacing w:line="560" w:lineRule="exact"/>
        <w:ind w:firstLine="640"/>
        <w:rPr>
          <w:rFonts w:ascii="仿宋_GB2312" w:eastAsia="仿宋_GB2312"/>
          <w:sz w:val="32"/>
          <w:szCs w:val="32"/>
        </w:rPr>
      </w:pPr>
      <w:r>
        <w:rPr>
          <w:rFonts w:hint="eastAsia" w:ascii="仿宋_GB2312" w:eastAsia="仿宋_GB2312"/>
          <w:sz w:val="32"/>
          <w:szCs w:val="32"/>
        </w:rPr>
        <w:t>投资者及其一致行动人通过首次发售方式拥有权益的基金份额达到或者超过不动产基金份额</w:t>
      </w:r>
      <w:r>
        <w:rPr>
          <w:rFonts w:hint="eastAsia" w:eastAsia="仿宋_GB2312"/>
          <w:sz w:val="32"/>
          <w:szCs w:val="32"/>
        </w:rPr>
        <w:t>50%</w:t>
      </w:r>
      <w:r>
        <w:rPr>
          <w:rFonts w:hint="eastAsia" w:ascii="仿宋_GB2312" w:eastAsia="仿宋_GB2312"/>
          <w:sz w:val="32"/>
          <w:szCs w:val="32"/>
        </w:rPr>
        <w:t>，继续增持该不动产基金份额的，适用前述规定。</w:t>
      </w:r>
    </w:p>
    <w:p w14:paraId="18DAA367">
      <w:pPr>
        <w:spacing w:line="560" w:lineRule="exact"/>
        <w:ind w:firstLine="640" w:firstLineChars="200"/>
        <w:rPr>
          <w:rFonts w:ascii="仿宋_GB2312" w:eastAsia="仿宋_GB2312"/>
          <w:sz w:val="32"/>
          <w:szCs w:val="32"/>
        </w:rPr>
      </w:pPr>
      <w:r>
        <w:rPr>
          <w:rFonts w:hint="eastAsia" w:ascii="仿宋_GB2312" w:eastAsia="仿宋_GB2312"/>
          <w:sz w:val="32"/>
          <w:szCs w:val="32"/>
        </w:rPr>
        <w:t>被收购不动产基金的基金管理人应当参照《上市公司收购管理办法》的规定，编制并公告基金管理人报告书，聘请独立财务顾问出具专业意见并予公告。</w:t>
      </w:r>
    </w:p>
    <w:p w14:paraId="190EC0F7">
      <w:pPr>
        <w:spacing w:line="540" w:lineRule="exact"/>
        <w:ind w:firstLine="640" w:firstLineChars="200"/>
        <w:rPr>
          <w:rFonts w:ascii="仿宋_GB2312" w:eastAsia="仿宋_GB2312"/>
          <w:sz w:val="32"/>
          <w:szCs w:val="32"/>
        </w:rPr>
      </w:pPr>
      <w:r>
        <w:rPr>
          <w:rFonts w:hint="eastAsia" w:ascii="仿宋_GB2312" w:eastAsia="仿宋_GB2312"/>
          <w:sz w:val="32"/>
          <w:szCs w:val="32"/>
        </w:rPr>
        <w:t>以要约方式进行不动产基金收购的，要约收购期限届满至要约收购结果公告前，不动产基金应当停牌。基金管理人披露要约收购结果公告日复牌，公告日为非交易日的，于次一交易日起复牌。</w:t>
      </w:r>
    </w:p>
    <w:p w14:paraId="49A13B45">
      <w:pPr>
        <w:pStyle w:val="54"/>
        <w:spacing w:line="540" w:lineRule="exact"/>
        <w:ind w:firstLine="640"/>
        <w:rPr>
          <w:rFonts w:ascii="仿宋_GB2312" w:eastAsia="仿宋_GB2312"/>
          <w:sz w:val="32"/>
          <w:szCs w:val="32"/>
        </w:rPr>
      </w:pPr>
      <w:r>
        <w:rPr>
          <w:rFonts w:hint="eastAsia" w:ascii="仿宋_GB2312" w:eastAsia="仿宋_GB2312"/>
          <w:sz w:val="32"/>
          <w:szCs w:val="32"/>
        </w:rPr>
        <w:t>以要约方式进行不动产基金收购的，当事人应当参照本所和中国结算上市公司要约收购业务的有关规定办理有关手续。</w:t>
      </w:r>
    </w:p>
    <w:p w14:paraId="353D3DAE">
      <w:pPr>
        <w:pStyle w:val="54"/>
        <w:numPr>
          <w:ilvl w:val="0"/>
          <w:numId w:val="0"/>
        </w:numPr>
        <w:spacing w:line="540" w:lineRule="exact"/>
        <w:ind w:left="0" w:leftChars="0" w:firstLine="643" w:firstLineChars="200"/>
        <w:rPr>
          <w:rFonts w:ascii="仿宋_GB2312"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第五十九条 </w:t>
      </w:r>
      <w:r>
        <w:rPr>
          <w:rFonts w:hint="eastAsia" w:ascii="仿宋_GB2312" w:eastAsia="仿宋_GB2312"/>
          <w:sz w:val="32"/>
          <w:szCs w:val="32"/>
        </w:rPr>
        <w:t>投资者及其一致行动人拥有权益的不动产基金份额达到或者超过不动产基金份额的</w:t>
      </w:r>
      <w:r>
        <w:rPr>
          <w:rFonts w:hint="eastAsia" w:eastAsia="仿宋_GB2312"/>
          <w:sz w:val="32"/>
          <w:szCs w:val="32"/>
        </w:rPr>
        <w:t>2</w:t>
      </w:r>
      <w:r>
        <w:rPr>
          <w:rFonts w:hint="eastAsia" w:ascii="仿宋_GB2312" w:eastAsia="仿宋_GB2312"/>
          <w:sz w:val="32"/>
          <w:szCs w:val="32"/>
        </w:rPr>
        <w:t>/</w:t>
      </w:r>
      <w:r>
        <w:rPr>
          <w:rFonts w:hint="eastAsia" w:eastAsia="仿宋_GB2312"/>
          <w:sz w:val="32"/>
          <w:szCs w:val="32"/>
        </w:rPr>
        <w:t>3</w:t>
      </w:r>
      <w:r>
        <w:rPr>
          <w:rFonts w:hint="eastAsia" w:ascii="仿宋_GB2312" w:eastAsia="仿宋_GB2312"/>
          <w:sz w:val="32"/>
          <w:szCs w:val="32"/>
        </w:rPr>
        <w:t>，继续增持该不动产基金份额的，可免于发出要约。</w:t>
      </w:r>
    </w:p>
    <w:p w14:paraId="546EEF7E">
      <w:pPr>
        <w:pStyle w:val="54"/>
        <w:spacing w:line="540" w:lineRule="exact"/>
        <w:ind w:firstLine="640"/>
        <w:rPr>
          <w:rFonts w:ascii="仿宋_GB2312" w:eastAsia="仿宋_GB2312"/>
          <w:sz w:val="32"/>
          <w:szCs w:val="32"/>
        </w:rPr>
      </w:pPr>
      <w:r>
        <w:rPr>
          <w:rFonts w:hint="eastAsia" w:ascii="仿宋_GB2312" w:eastAsia="仿宋_GB2312"/>
          <w:sz w:val="32"/>
          <w:szCs w:val="32"/>
        </w:rPr>
        <w:t>除符合本条第一款规定的条件外，投资者及其一致行动人拥有权益的不动产基金份额达到或者超过不动产基金份额的</w:t>
      </w:r>
      <w:r>
        <w:rPr>
          <w:rFonts w:hint="eastAsia" w:eastAsia="仿宋_GB2312"/>
          <w:sz w:val="32"/>
          <w:szCs w:val="32"/>
        </w:rPr>
        <w:t>50%</w:t>
      </w:r>
      <w:r>
        <w:rPr>
          <w:rFonts w:hint="eastAsia" w:ascii="仿宋_GB2312" w:eastAsia="仿宋_GB2312"/>
          <w:sz w:val="32"/>
          <w:szCs w:val="32"/>
        </w:rPr>
        <w:t>，且符合《上市公司收购管理办法》第六十三条列举情形之一的，可免于发出要约。</w:t>
      </w:r>
    </w:p>
    <w:p w14:paraId="2D8AFD80">
      <w:pPr>
        <w:pStyle w:val="54"/>
        <w:spacing w:line="540" w:lineRule="exact"/>
        <w:ind w:firstLine="640"/>
        <w:rPr>
          <w:rFonts w:eastAsia="仿宋_GB2312"/>
          <w:sz w:val="32"/>
          <w:szCs w:val="32"/>
        </w:rPr>
      </w:pPr>
      <w:r>
        <w:rPr>
          <w:rFonts w:hint="eastAsia" w:ascii="仿宋_GB2312" w:eastAsia="仿宋_GB2312"/>
          <w:sz w:val="32"/>
          <w:szCs w:val="32"/>
        </w:rPr>
        <w:t>符合《上市公司收购管理办法》第六十二条列举情形之一</w:t>
      </w:r>
      <w:r>
        <w:rPr>
          <w:rFonts w:eastAsia="仿宋_GB2312"/>
          <w:sz w:val="32"/>
          <w:szCs w:val="32"/>
        </w:rPr>
        <w:t>的，投资者可以免于以要约方式增持不动产基金份额。</w:t>
      </w:r>
    </w:p>
    <w:p w14:paraId="1D8E3F87">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第六十条 </w:t>
      </w:r>
      <w:r>
        <w:rPr>
          <w:rFonts w:hint="eastAsia" w:eastAsia="仿宋_GB2312"/>
          <w:sz w:val="32"/>
          <w:szCs w:val="32"/>
        </w:rPr>
        <w:t>不动产基金涉及与其他基金合并的，应当按照法律法规的规定以及基金合同的约定履行有关程序。</w:t>
      </w:r>
    </w:p>
    <w:p w14:paraId="5D882AFC">
      <w:pPr>
        <w:pStyle w:val="54"/>
        <w:numPr>
          <w:ilvl w:val="0"/>
          <w:numId w:val="0"/>
        </w:numPr>
        <w:spacing w:line="540" w:lineRule="exact"/>
        <w:ind w:left="0" w:leftChars="0" w:firstLine="198" w:firstLineChars="0"/>
        <w:jc w:val="center"/>
        <w:rPr>
          <w:rFonts w:eastAsia="黑体"/>
          <w:bCs/>
          <w:sz w:val="32"/>
          <w:szCs w:val="32"/>
        </w:rPr>
      </w:pPr>
      <w:r>
        <w:rPr>
          <w:rFonts w:hint="eastAsia" w:ascii="Times New Roman" w:hAnsi="Times New Roman" w:eastAsia="黑体" w:cs="Times New Roman"/>
          <w:b w:val="0"/>
          <w:bCs/>
          <w:kern w:val="2"/>
          <w:sz w:val="32"/>
          <w:szCs w:val="32"/>
          <w:lang w:val="en-US" w:eastAsia="zh-CN" w:bidi="ar-SA"/>
        </w:rPr>
        <w:t>第五章</w:t>
      </w:r>
      <w:r>
        <w:rPr>
          <w:rFonts w:hint="eastAsia" w:hAnsi="黑体" w:eastAsia="黑体"/>
          <w:bCs/>
          <w:sz w:val="32"/>
          <w:szCs w:val="32"/>
        </w:rPr>
        <w:t>自律监管</w:t>
      </w:r>
    </w:p>
    <w:p w14:paraId="19E25E56">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第六十一条 </w:t>
      </w:r>
      <w:r>
        <w:rPr>
          <w:rFonts w:eastAsia="仿宋_GB2312"/>
          <w:sz w:val="32"/>
          <w:szCs w:val="32"/>
        </w:rPr>
        <w:t>本所可以根据自律管理工作需要实施日常监管，具体措施包括：</w:t>
      </w:r>
    </w:p>
    <w:p w14:paraId="7BA90637">
      <w:pPr>
        <w:spacing w:line="540" w:lineRule="exact"/>
        <w:ind w:firstLine="640" w:firstLineChars="200"/>
        <w:rPr>
          <w:rFonts w:eastAsia="仿宋_GB2312"/>
          <w:sz w:val="32"/>
          <w:szCs w:val="32"/>
        </w:rPr>
      </w:pPr>
      <w:r>
        <w:rPr>
          <w:rFonts w:eastAsia="仿宋_GB2312"/>
          <w:sz w:val="32"/>
          <w:szCs w:val="32"/>
        </w:rPr>
        <w:t>（一）向监管对象作出口头提醒或者督促；</w:t>
      </w:r>
    </w:p>
    <w:p w14:paraId="31137015">
      <w:pPr>
        <w:spacing w:line="540" w:lineRule="exact"/>
        <w:ind w:firstLine="640" w:firstLineChars="200"/>
        <w:rPr>
          <w:rFonts w:eastAsia="仿宋_GB2312"/>
          <w:sz w:val="32"/>
          <w:szCs w:val="32"/>
        </w:rPr>
      </w:pPr>
      <w:r>
        <w:rPr>
          <w:rFonts w:eastAsia="仿宋_GB2312"/>
          <w:sz w:val="32"/>
          <w:szCs w:val="32"/>
        </w:rPr>
        <w:t>（二）向监管对象发出问询、通知、督促等书面函件；</w:t>
      </w:r>
    </w:p>
    <w:p w14:paraId="5544BCC1">
      <w:pPr>
        <w:spacing w:line="540" w:lineRule="exact"/>
        <w:ind w:firstLine="640" w:firstLineChars="200"/>
        <w:rPr>
          <w:rFonts w:eastAsia="仿宋_GB2312"/>
          <w:sz w:val="32"/>
          <w:szCs w:val="32"/>
        </w:rPr>
      </w:pPr>
      <w:r>
        <w:rPr>
          <w:rFonts w:eastAsia="仿宋_GB2312"/>
          <w:sz w:val="32"/>
          <w:szCs w:val="32"/>
        </w:rPr>
        <w:t>（三）与监管对象</w:t>
      </w:r>
      <w:r>
        <w:rPr>
          <w:rFonts w:hint="eastAsia" w:eastAsia="仿宋_GB2312"/>
          <w:sz w:val="32"/>
          <w:szCs w:val="32"/>
        </w:rPr>
        <w:t>以</w:t>
      </w:r>
      <w:r>
        <w:rPr>
          <w:rFonts w:eastAsia="仿宋_GB2312"/>
          <w:sz w:val="32"/>
          <w:szCs w:val="32"/>
        </w:rPr>
        <w:t>及有关人员进行谈话；</w:t>
      </w:r>
    </w:p>
    <w:p w14:paraId="07515E21">
      <w:pPr>
        <w:spacing w:line="540" w:lineRule="exact"/>
        <w:ind w:firstLine="640" w:firstLineChars="200"/>
        <w:rPr>
          <w:rFonts w:eastAsia="仿宋_GB2312"/>
          <w:sz w:val="32"/>
          <w:szCs w:val="32"/>
        </w:rPr>
      </w:pPr>
      <w:r>
        <w:rPr>
          <w:rFonts w:eastAsia="仿宋_GB2312"/>
          <w:sz w:val="32"/>
          <w:szCs w:val="32"/>
        </w:rPr>
        <w:t>（四）要求监管对象开展自查等；</w:t>
      </w:r>
    </w:p>
    <w:p w14:paraId="7CD73FE3">
      <w:pPr>
        <w:spacing w:line="540" w:lineRule="exact"/>
        <w:ind w:firstLine="640" w:firstLineChars="200"/>
        <w:rPr>
          <w:rFonts w:eastAsia="仿宋_GB2312"/>
          <w:sz w:val="32"/>
          <w:szCs w:val="32"/>
        </w:rPr>
      </w:pPr>
      <w:r>
        <w:rPr>
          <w:rFonts w:eastAsia="仿宋_GB2312"/>
          <w:sz w:val="32"/>
          <w:szCs w:val="32"/>
        </w:rPr>
        <w:t>（五）要求业务参与机构核查并发表意见；</w:t>
      </w:r>
    </w:p>
    <w:p w14:paraId="66CFC4CB">
      <w:pPr>
        <w:spacing w:line="540" w:lineRule="exact"/>
        <w:ind w:firstLine="640" w:firstLineChars="200"/>
        <w:rPr>
          <w:rFonts w:eastAsia="仿宋_GB2312"/>
          <w:sz w:val="32"/>
          <w:szCs w:val="32"/>
        </w:rPr>
      </w:pPr>
      <w:r>
        <w:rPr>
          <w:rFonts w:eastAsia="仿宋_GB2312"/>
          <w:sz w:val="32"/>
          <w:szCs w:val="32"/>
        </w:rPr>
        <w:t>（六）对监管对象进行现场或者非现场检查；</w:t>
      </w:r>
    </w:p>
    <w:p w14:paraId="556EA977">
      <w:pPr>
        <w:spacing w:line="540" w:lineRule="exact"/>
        <w:ind w:firstLine="640" w:firstLineChars="200"/>
        <w:rPr>
          <w:rFonts w:eastAsia="仿宋_GB2312"/>
          <w:sz w:val="32"/>
          <w:szCs w:val="32"/>
        </w:rPr>
      </w:pPr>
      <w:r>
        <w:rPr>
          <w:rFonts w:eastAsia="仿宋_GB2312"/>
          <w:sz w:val="32"/>
          <w:szCs w:val="32"/>
        </w:rPr>
        <w:t>（七）向中国证监会报告有关情况；</w:t>
      </w:r>
    </w:p>
    <w:p w14:paraId="7EA4B098">
      <w:pPr>
        <w:spacing w:line="540" w:lineRule="exact"/>
        <w:ind w:firstLine="640" w:firstLineChars="200"/>
        <w:rPr>
          <w:rFonts w:eastAsia="仿宋_GB2312"/>
          <w:sz w:val="32"/>
          <w:szCs w:val="32"/>
        </w:rPr>
      </w:pPr>
      <w:r>
        <w:rPr>
          <w:rFonts w:eastAsia="仿宋_GB2312"/>
          <w:sz w:val="32"/>
          <w:szCs w:val="32"/>
        </w:rPr>
        <w:t>（八）其他日常监管措施。</w:t>
      </w:r>
    </w:p>
    <w:p w14:paraId="40D53622">
      <w:pPr>
        <w:spacing w:line="540" w:lineRule="exact"/>
        <w:ind w:firstLine="640" w:firstLineChars="200"/>
        <w:rPr>
          <w:rFonts w:eastAsia="仿宋_GB2312"/>
          <w:sz w:val="32"/>
          <w:szCs w:val="32"/>
        </w:rPr>
      </w:pPr>
      <w:r>
        <w:rPr>
          <w:rFonts w:hint="eastAsia" w:eastAsia="仿宋_GB2312"/>
          <w:sz w:val="32"/>
          <w:szCs w:val="32"/>
        </w:rPr>
        <w:t>监管对象应当积极配合本所实施日常监管，及时制作并完整保存相关工作底稿备查，按照要求提供相关资料，保证提供的有关文件和资料真实、准确、完整、及时，不得拒绝、阻碍和隐瞒。</w:t>
      </w:r>
    </w:p>
    <w:p w14:paraId="3E769355">
      <w:pPr>
        <w:spacing w:line="540" w:lineRule="exact"/>
        <w:ind w:firstLine="640" w:firstLineChars="200"/>
        <w:rPr>
          <w:rFonts w:eastAsia="仿宋_GB2312"/>
          <w:sz w:val="32"/>
          <w:szCs w:val="32"/>
        </w:rPr>
      </w:pPr>
      <w:r>
        <w:rPr>
          <w:rFonts w:hint="eastAsia" w:eastAsia="仿宋_GB2312"/>
          <w:sz w:val="32"/>
          <w:szCs w:val="32"/>
        </w:rPr>
        <w:t>监管对象应当在本所要求的期限内如实报告或者回复本所就有关事项提出的问询，未在相关期限内回复本所问询、未按照本办法的规定和本所的要求进行报告或者披露的，或者存在本所认为有必要的其他情形的，本所可以以交易所公告等形式，向市场说明有关情况。</w:t>
      </w:r>
    </w:p>
    <w:p w14:paraId="00DD800C">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第六十二条 </w:t>
      </w:r>
      <w:r>
        <w:rPr>
          <w:rFonts w:hint="eastAsia" w:eastAsia="仿宋_GB2312"/>
          <w:sz w:val="32"/>
          <w:szCs w:val="32"/>
        </w:rPr>
        <w:t>监管对象违反本办法、上市协议、</w:t>
      </w:r>
      <w:r>
        <w:rPr>
          <w:rFonts w:eastAsia="仿宋_GB2312"/>
          <w:sz w:val="32"/>
          <w:szCs w:val="32"/>
        </w:rPr>
        <w:t>相关约定、承诺或者其他相关规定的，本所可以对</w:t>
      </w:r>
      <w:r>
        <w:rPr>
          <w:rFonts w:hint="eastAsia" w:eastAsia="仿宋_GB2312"/>
          <w:sz w:val="32"/>
          <w:szCs w:val="32"/>
        </w:rPr>
        <w:t>监管对象及其直接负责的主管人员和其他直接责任人员</w:t>
      </w:r>
      <w:r>
        <w:rPr>
          <w:rFonts w:eastAsia="仿宋_GB2312"/>
          <w:sz w:val="32"/>
          <w:szCs w:val="32"/>
        </w:rPr>
        <w:t>实施下列监管措施：</w:t>
      </w:r>
    </w:p>
    <w:p w14:paraId="2707D0AF">
      <w:pPr>
        <w:tabs>
          <w:tab w:val="left" w:pos="2410"/>
        </w:tabs>
        <w:spacing w:line="540" w:lineRule="exact"/>
        <w:ind w:firstLine="640" w:firstLineChars="200"/>
        <w:rPr>
          <w:rFonts w:eastAsia="仿宋_GB2312"/>
          <w:sz w:val="32"/>
          <w:szCs w:val="32"/>
        </w:rPr>
      </w:pPr>
      <w:r>
        <w:rPr>
          <w:rFonts w:eastAsia="仿宋_GB2312"/>
          <w:sz w:val="32"/>
          <w:szCs w:val="32"/>
        </w:rPr>
        <w:t>（一）口头警示；</w:t>
      </w:r>
    </w:p>
    <w:p w14:paraId="7BF1A639">
      <w:pPr>
        <w:spacing w:line="540" w:lineRule="exact"/>
        <w:ind w:firstLine="640" w:firstLineChars="200"/>
        <w:rPr>
          <w:rFonts w:eastAsia="仿宋_GB2312"/>
          <w:sz w:val="32"/>
          <w:szCs w:val="32"/>
        </w:rPr>
      </w:pPr>
      <w:r>
        <w:rPr>
          <w:rFonts w:eastAsia="仿宋_GB2312"/>
          <w:sz w:val="32"/>
          <w:szCs w:val="32"/>
        </w:rPr>
        <w:t>（二）书面警示；</w:t>
      </w:r>
    </w:p>
    <w:p w14:paraId="185CEC4A">
      <w:pPr>
        <w:spacing w:line="540" w:lineRule="exact"/>
        <w:ind w:firstLine="640" w:firstLineChars="200"/>
        <w:rPr>
          <w:rFonts w:eastAsia="仿宋_GB2312"/>
          <w:sz w:val="32"/>
          <w:szCs w:val="32"/>
        </w:rPr>
      </w:pPr>
      <w:r>
        <w:rPr>
          <w:rFonts w:hint="eastAsia" w:eastAsia="仿宋_GB2312"/>
          <w:sz w:val="32"/>
          <w:szCs w:val="32"/>
        </w:rPr>
        <w:t>（三）监管谈话；</w:t>
      </w:r>
    </w:p>
    <w:p w14:paraId="73AF6F67">
      <w:pPr>
        <w:spacing w:line="540" w:lineRule="exact"/>
        <w:ind w:firstLine="640" w:firstLineChars="200"/>
        <w:rPr>
          <w:rFonts w:eastAsia="仿宋_GB2312"/>
          <w:sz w:val="32"/>
          <w:szCs w:val="32"/>
        </w:rPr>
      </w:pPr>
      <w:r>
        <w:rPr>
          <w:rFonts w:eastAsia="仿宋_GB2312"/>
          <w:sz w:val="32"/>
          <w:szCs w:val="32"/>
        </w:rPr>
        <w:t>（四）要求限期改正；</w:t>
      </w:r>
    </w:p>
    <w:p w14:paraId="42F783B0">
      <w:pPr>
        <w:spacing w:line="540" w:lineRule="exact"/>
        <w:ind w:firstLine="640" w:firstLineChars="200"/>
        <w:rPr>
          <w:rFonts w:eastAsia="仿宋_GB2312"/>
          <w:sz w:val="32"/>
          <w:szCs w:val="32"/>
        </w:rPr>
      </w:pPr>
      <w:r>
        <w:rPr>
          <w:rFonts w:eastAsia="仿宋_GB2312"/>
          <w:sz w:val="32"/>
          <w:szCs w:val="32"/>
        </w:rPr>
        <w:t>（五）要求公开更正、澄清或</w:t>
      </w:r>
      <w:r>
        <w:rPr>
          <w:rFonts w:hint="eastAsia" w:eastAsia="仿宋_GB2312"/>
          <w:sz w:val="32"/>
          <w:szCs w:val="32"/>
        </w:rPr>
        <w:t>者</w:t>
      </w:r>
      <w:r>
        <w:rPr>
          <w:rFonts w:eastAsia="仿宋_GB2312"/>
          <w:sz w:val="32"/>
          <w:szCs w:val="32"/>
        </w:rPr>
        <w:t>说明；</w:t>
      </w:r>
    </w:p>
    <w:p w14:paraId="66C87D67">
      <w:pPr>
        <w:spacing w:line="540" w:lineRule="exact"/>
        <w:ind w:firstLine="640" w:firstLineChars="200"/>
        <w:rPr>
          <w:rFonts w:eastAsia="仿宋_GB2312"/>
          <w:sz w:val="32"/>
          <w:szCs w:val="32"/>
        </w:rPr>
      </w:pPr>
      <w:r>
        <w:rPr>
          <w:rFonts w:hint="eastAsia" w:eastAsia="仿宋_GB2312"/>
          <w:sz w:val="32"/>
          <w:szCs w:val="32"/>
        </w:rPr>
        <w:t>（六）要求公开致歉；</w:t>
      </w:r>
    </w:p>
    <w:p w14:paraId="53A182E8">
      <w:pPr>
        <w:spacing w:line="540" w:lineRule="exact"/>
        <w:ind w:firstLine="640" w:firstLineChars="200"/>
        <w:rPr>
          <w:rFonts w:eastAsia="仿宋_GB2312"/>
          <w:strike/>
          <w:sz w:val="32"/>
          <w:szCs w:val="32"/>
        </w:rPr>
      </w:pPr>
      <w:r>
        <w:rPr>
          <w:rFonts w:hint="eastAsia" w:eastAsia="仿宋_GB2312"/>
          <w:sz w:val="32"/>
          <w:szCs w:val="32"/>
        </w:rPr>
        <w:t>（七）要求聘请其他机构进行核查并发表意见；</w:t>
      </w:r>
    </w:p>
    <w:p w14:paraId="271DED2D">
      <w:pPr>
        <w:spacing w:line="540" w:lineRule="exact"/>
        <w:ind w:firstLine="640" w:firstLineChars="200"/>
        <w:rPr>
          <w:rFonts w:eastAsia="仿宋_GB2312"/>
          <w:sz w:val="32"/>
          <w:szCs w:val="32"/>
        </w:rPr>
      </w:pPr>
      <w:r>
        <w:rPr>
          <w:rFonts w:eastAsia="仿宋_GB2312"/>
          <w:sz w:val="32"/>
          <w:szCs w:val="32"/>
        </w:rPr>
        <w:t>（八）建议更换相关任职人员；</w:t>
      </w:r>
    </w:p>
    <w:p w14:paraId="13865B74">
      <w:pPr>
        <w:tabs>
          <w:tab w:val="left" w:pos="6663"/>
        </w:tabs>
        <w:spacing w:line="540" w:lineRule="exact"/>
        <w:ind w:firstLine="640" w:firstLineChars="200"/>
        <w:rPr>
          <w:rFonts w:eastAsia="仿宋_GB2312"/>
          <w:sz w:val="32"/>
          <w:szCs w:val="32"/>
        </w:rPr>
      </w:pPr>
      <w:r>
        <w:rPr>
          <w:rFonts w:eastAsia="仿宋_GB2312"/>
          <w:sz w:val="32"/>
          <w:szCs w:val="32"/>
        </w:rPr>
        <w:t>（九）向相关主管部门出具监管建议函；</w:t>
      </w:r>
    </w:p>
    <w:p w14:paraId="7372F31D">
      <w:pPr>
        <w:spacing w:line="540" w:lineRule="exact"/>
        <w:ind w:firstLine="640" w:firstLineChars="200"/>
        <w:rPr>
          <w:rFonts w:eastAsia="仿宋_GB2312"/>
          <w:sz w:val="32"/>
          <w:szCs w:val="32"/>
        </w:rPr>
      </w:pPr>
      <w:r>
        <w:rPr>
          <w:rFonts w:eastAsia="仿宋_GB2312"/>
          <w:sz w:val="32"/>
          <w:szCs w:val="32"/>
        </w:rPr>
        <w:t>（十）本所规定的其他监管措施</w:t>
      </w:r>
      <w:r>
        <w:rPr>
          <w:rFonts w:hint="eastAsia" w:eastAsia="仿宋_GB2312"/>
          <w:sz w:val="32"/>
          <w:szCs w:val="32"/>
        </w:rPr>
        <w:t>。</w:t>
      </w:r>
    </w:p>
    <w:p w14:paraId="3A17FC59">
      <w:pPr>
        <w:pStyle w:val="54"/>
        <w:numPr>
          <w:ilvl w:val="0"/>
          <w:numId w:val="0"/>
        </w:numPr>
        <w:tabs>
          <w:tab w:val="left" w:pos="6663"/>
        </w:tabs>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第六十三条 </w:t>
      </w:r>
      <w:r>
        <w:rPr>
          <w:rFonts w:hint="eastAsia" w:eastAsia="仿宋_GB2312"/>
          <w:sz w:val="32"/>
          <w:szCs w:val="32"/>
        </w:rPr>
        <w:t>监管对象违反本办法、上市协议、</w:t>
      </w:r>
      <w:r>
        <w:rPr>
          <w:rFonts w:eastAsia="仿宋_GB2312"/>
          <w:sz w:val="32"/>
          <w:szCs w:val="32"/>
        </w:rPr>
        <w:t>相关约定、承诺或者其他相关规定，情节严重的，本所可以</w:t>
      </w:r>
      <w:r>
        <w:rPr>
          <w:rFonts w:hint="eastAsia" w:eastAsia="仿宋_GB2312"/>
          <w:sz w:val="32"/>
          <w:szCs w:val="32"/>
        </w:rPr>
        <w:t>对监管对象及其直接负责的主管人员和其他直接责任人员</w:t>
      </w:r>
      <w:r>
        <w:rPr>
          <w:rFonts w:eastAsia="仿宋_GB2312"/>
          <w:sz w:val="32"/>
          <w:szCs w:val="32"/>
        </w:rPr>
        <w:t>实施下列纪律处分：</w:t>
      </w:r>
    </w:p>
    <w:p w14:paraId="44E06769">
      <w:pPr>
        <w:spacing w:line="540" w:lineRule="exact"/>
        <w:ind w:firstLine="640" w:firstLineChars="200"/>
        <w:rPr>
          <w:rFonts w:eastAsia="仿宋_GB2312"/>
          <w:sz w:val="32"/>
          <w:szCs w:val="32"/>
        </w:rPr>
      </w:pPr>
      <w:r>
        <w:rPr>
          <w:rFonts w:eastAsia="仿宋_GB2312"/>
          <w:sz w:val="32"/>
          <w:szCs w:val="32"/>
        </w:rPr>
        <w:t>（一）通报批评；</w:t>
      </w:r>
    </w:p>
    <w:p w14:paraId="6F67FB49">
      <w:pPr>
        <w:spacing w:line="540" w:lineRule="exact"/>
        <w:ind w:firstLine="640" w:firstLineChars="200"/>
        <w:rPr>
          <w:rFonts w:eastAsia="仿宋_GB2312"/>
          <w:sz w:val="32"/>
          <w:szCs w:val="32"/>
        </w:rPr>
      </w:pPr>
      <w:r>
        <w:rPr>
          <w:rFonts w:eastAsia="仿宋_GB2312"/>
          <w:sz w:val="32"/>
          <w:szCs w:val="32"/>
        </w:rPr>
        <w:t>（二）公开谴责；</w:t>
      </w:r>
    </w:p>
    <w:p w14:paraId="1D1447B0">
      <w:pPr>
        <w:spacing w:line="540" w:lineRule="exact"/>
        <w:ind w:firstLine="640" w:firstLineChars="200"/>
        <w:rPr>
          <w:rFonts w:eastAsia="仿宋_GB2312"/>
          <w:sz w:val="32"/>
          <w:szCs w:val="32"/>
        </w:rPr>
      </w:pPr>
      <w:r>
        <w:rPr>
          <w:rFonts w:eastAsia="仿宋_GB2312"/>
          <w:sz w:val="32"/>
          <w:szCs w:val="32"/>
        </w:rPr>
        <w:t>（三）暂不受理专业机构或者其</w:t>
      </w:r>
      <w:r>
        <w:rPr>
          <w:rFonts w:hint="eastAsia" w:eastAsia="仿宋_GB2312"/>
          <w:sz w:val="32"/>
          <w:szCs w:val="32"/>
        </w:rPr>
        <w:t>有关</w:t>
      </w:r>
      <w:r>
        <w:rPr>
          <w:rFonts w:eastAsia="仿宋_GB2312"/>
          <w:sz w:val="32"/>
          <w:szCs w:val="32"/>
        </w:rPr>
        <w:t>人员出具的文件；</w:t>
      </w:r>
    </w:p>
    <w:p w14:paraId="5B62C6E1">
      <w:pPr>
        <w:spacing w:line="540" w:lineRule="exact"/>
        <w:ind w:firstLine="640" w:firstLineChars="200"/>
        <w:rPr>
          <w:rFonts w:eastAsia="仿宋_GB2312"/>
          <w:sz w:val="32"/>
          <w:szCs w:val="32"/>
        </w:rPr>
      </w:pPr>
      <w:r>
        <w:rPr>
          <w:rFonts w:eastAsia="仿宋_GB2312"/>
          <w:sz w:val="32"/>
          <w:szCs w:val="32"/>
        </w:rPr>
        <w:t>（四）收取惩罚性违约金；</w:t>
      </w:r>
    </w:p>
    <w:p w14:paraId="638F7CF6">
      <w:pPr>
        <w:pStyle w:val="54"/>
        <w:spacing w:line="540" w:lineRule="exact"/>
        <w:ind w:firstLine="640"/>
        <w:rPr>
          <w:rFonts w:eastAsia="仿宋_GB2312"/>
          <w:sz w:val="32"/>
          <w:szCs w:val="32"/>
        </w:rPr>
      </w:pPr>
      <w:r>
        <w:rPr>
          <w:rFonts w:eastAsia="仿宋_GB2312"/>
          <w:sz w:val="32"/>
          <w:szCs w:val="32"/>
        </w:rPr>
        <w:t>（五）本所规定的其他纪律处分。</w:t>
      </w:r>
    </w:p>
    <w:p w14:paraId="579CB98A">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第六十四条 </w:t>
      </w:r>
      <w:r>
        <w:rPr>
          <w:rFonts w:eastAsia="仿宋_GB2312"/>
          <w:sz w:val="32"/>
          <w:szCs w:val="32"/>
        </w:rPr>
        <w:t>监管对象出现下列情形之一的，本所可以将其记入诚信档案</w:t>
      </w:r>
      <w:r>
        <w:rPr>
          <w:rFonts w:hint="eastAsia" w:eastAsia="仿宋_GB2312"/>
          <w:sz w:val="32"/>
          <w:szCs w:val="32"/>
        </w:rPr>
        <w:t>：</w:t>
      </w:r>
    </w:p>
    <w:p w14:paraId="4290AD61">
      <w:pPr>
        <w:pStyle w:val="54"/>
        <w:spacing w:line="540" w:lineRule="exact"/>
        <w:ind w:firstLine="640"/>
        <w:rPr>
          <w:rFonts w:eastAsia="仿宋_GB2312"/>
          <w:sz w:val="32"/>
          <w:szCs w:val="32"/>
        </w:rPr>
      </w:pPr>
      <w:r>
        <w:rPr>
          <w:rFonts w:eastAsia="仿宋_GB2312"/>
          <w:sz w:val="32"/>
          <w:szCs w:val="32"/>
        </w:rPr>
        <w:t>（一）未履行合同约定的义务，给投资者造成重大损失的；</w:t>
      </w:r>
    </w:p>
    <w:p w14:paraId="4ABB81F6">
      <w:pPr>
        <w:pStyle w:val="54"/>
        <w:spacing w:line="540" w:lineRule="exact"/>
        <w:ind w:firstLine="640"/>
        <w:rPr>
          <w:rFonts w:eastAsia="仿宋_GB2312"/>
          <w:sz w:val="32"/>
          <w:szCs w:val="32"/>
        </w:rPr>
      </w:pPr>
      <w:r>
        <w:rPr>
          <w:rFonts w:eastAsia="仿宋_GB2312"/>
          <w:sz w:val="32"/>
          <w:szCs w:val="32"/>
        </w:rPr>
        <w:t>（二）未履行</w:t>
      </w:r>
      <w:r>
        <w:rPr>
          <w:rFonts w:hint="eastAsia" w:eastAsia="仿宋_GB2312"/>
          <w:sz w:val="32"/>
          <w:szCs w:val="32"/>
        </w:rPr>
        <w:t>作</w:t>
      </w:r>
      <w:r>
        <w:rPr>
          <w:rFonts w:eastAsia="仿宋_GB2312"/>
          <w:sz w:val="32"/>
          <w:szCs w:val="32"/>
        </w:rPr>
        <w:t>出的重要承诺的；</w:t>
      </w:r>
    </w:p>
    <w:p w14:paraId="7DF6B8EA">
      <w:pPr>
        <w:pStyle w:val="54"/>
        <w:spacing w:line="540" w:lineRule="exact"/>
        <w:ind w:firstLine="640"/>
        <w:rPr>
          <w:rFonts w:eastAsia="仿宋_GB2312"/>
          <w:sz w:val="32"/>
          <w:szCs w:val="32"/>
        </w:rPr>
      </w:pPr>
      <w:r>
        <w:rPr>
          <w:rFonts w:eastAsia="仿宋_GB2312"/>
          <w:sz w:val="32"/>
          <w:szCs w:val="32"/>
        </w:rPr>
        <w:t>（三）被本所实施纪律处分或者相关监管措施的；</w:t>
      </w:r>
    </w:p>
    <w:p w14:paraId="1B09CA33">
      <w:pPr>
        <w:pStyle w:val="54"/>
        <w:spacing w:line="540" w:lineRule="exact"/>
        <w:ind w:firstLine="640"/>
        <w:rPr>
          <w:rFonts w:eastAsia="仿宋_GB2312"/>
          <w:sz w:val="32"/>
          <w:szCs w:val="32"/>
        </w:rPr>
      </w:pPr>
      <w:r>
        <w:rPr>
          <w:rFonts w:eastAsia="仿宋_GB2312"/>
          <w:sz w:val="32"/>
          <w:szCs w:val="32"/>
        </w:rPr>
        <w:t>（四）本所规定的其他情形。</w:t>
      </w:r>
    </w:p>
    <w:p w14:paraId="366D33DA">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第六十五条 </w:t>
      </w:r>
      <w:r>
        <w:rPr>
          <w:rFonts w:eastAsia="仿宋_GB2312"/>
          <w:sz w:val="32"/>
          <w:szCs w:val="32"/>
        </w:rPr>
        <w:t>相关纪律处分决定作出前，当事人可以按照本所有关业务规则规定的受理范围和程序申请听证。</w:t>
      </w:r>
    </w:p>
    <w:p w14:paraId="699A54D9">
      <w:pPr>
        <w:pStyle w:val="54"/>
        <w:spacing w:line="540" w:lineRule="exact"/>
        <w:ind w:firstLine="640"/>
        <w:rPr>
          <w:rFonts w:eastAsia="仿宋_GB2312"/>
          <w:sz w:val="32"/>
          <w:szCs w:val="32"/>
        </w:rPr>
      </w:pPr>
      <w:r>
        <w:rPr>
          <w:rFonts w:eastAsia="仿宋_GB2312"/>
          <w:sz w:val="32"/>
          <w:szCs w:val="32"/>
        </w:rPr>
        <w:t>当事人对本所作出的相关纪律处分决定不服的，可以按照本所有关业务规则规定的受理范围和程序申请复核。</w:t>
      </w:r>
    </w:p>
    <w:p w14:paraId="476C0B98">
      <w:pPr>
        <w:pStyle w:val="54"/>
        <w:numPr>
          <w:ilvl w:val="0"/>
          <w:numId w:val="0"/>
        </w:numPr>
        <w:spacing w:line="540" w:lineRule="exact"/>
        <w:ind w:left="0" w:leftChars="0" w:firstLine="198" w:firstLineChars="0"/>
        <w:jc w:val="center"/>
        <w:rPr>
          <w:rFonts w:eastAsia="仿宋_GB2312"/>
          <w:bCs/>
          <w:sz w:val="32"/>
          <w:szCs w:val="32"/>
        </w:rPr>
      </w:pPr>
      <w:r>
        <w:rPr>
          <w:rFonts w:hint="eastAsia" w:ascii="Times New Roman" w:hAnsi="Times New Roman" w:eastAsia="黑体" w:cs="Times New Roman"/>
          <w:b w:val="0"/>
          <w:bCs/>
          <w:kern w:val="2"/>
          <w:sz w:val="32"/>
          <w:szCs w:val="32"/>
          <w:lang w:val="en-US" w:eastAsia="zh-CN" w:bidi="ar-SA"/>
        </w:rPr>
        <w:t>第六章</w:t>
      </w:r>
      <w:r>
        <w:rPr>
          <w:rFonts w:hint="eastAsia" w:hAnsi="黑体" w:eastAsia="黑体"/>
          <w:bCs/>
          <w:sz w:val="32"/>
          <w:szCs w:val="32"/>
        </w:rPr>
        <w:t>附</w:t>
      </w:r>
      <w:r>
        <w:rPr>
          <w:rFonts w:eastAsia="黑体"/>
          <w:bCs/>
          <w:sz w:val="32"/>
          <w:szCs w:val="32"/>
        </w:rPr>
        <w:t xml:space="preserve">  </w:t>
      </w:r>
      <w:r>
        <w:rPr>
          <w:rFonts w:hint="eastAsia" w:hAnsi="黑体" w:eastAsia="黑体"/>
          <w:bCs/>
          <w:sz w:val="32"/>
          <w:szCs w:val="32"/>
        </w:rPr>
        <w:t>则</w:t>
      </w:r>
    </w:p>
    <w:p w14:paraId="70521D63">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第六十六条 </w:t>
      </w:r>
      <w:r>
        <w:rPr>
          <w:rFonts w:eastAsia="仿宋_GB2312"/>
          <w:sz w:val="32"/>
          <w:szCs w:val="32"/>
        </w:rPr>
        <w:t>除</w:t>
      </w:r>
      <w:r>
        <w:rPr>
          <w:rFonts w:hint="eastAsia" w:eastAsia="仿宋_GB2312"/>
          <w:sz w:val="32"/>
          <w:szCs w:val="32"/>
        </w:rPr>
        <w:t>本所</w:t>
      </w:r>
      <w:r>
        <w:rPr>
          <w:rFonts w:eastAsia="仿宋_GB2312"/>
          <w:sz w:val="32"/>
          <w:szCs w:val="32"/>
        </w:rPr>
        <w:t>另有规定外，涉及不动产基金的</w:t>
      </w:r>
      <w:r>
        <w:rPr>
          <w:rFonts w:hint="eastAsia" w:eastAsia="仿宋_GB2312"/>
          <w:sz w:val="32"/>
          <w:szCs w:val="32"/>
        </w:rPr>
        <w:t>合并、收购和</w:t>
      </w:r>
      <w:r>
        <w:rPr>
          <w:rFonts w:eastAsia="仿宋_GB2312"/>
          <w:color w:val="000000"/>
          <w:kern w:val="0"/>
          <w:sz w:val="32"/>
          <w:szCs w:val="32"/>
        </w:rPr>
        <w:t>份额权益变动</w:t>
      </w:r>
      <w:r>
        <w:rPr>
          <w:rFonts w:eastAsia="仿宋_GB2312"/>
          <w:sz w:val="32"/>
          <w:szCs w:val="32"/>
        </w:rPr>
        <w:t>的，《上市公司收购管理办法》</w:t>
      </w:r>
      <w:r>
        <w:rPr>
          <w:rFonts w:hint="eastAsia" w:eastAsia="仿宋_GB2312"/>
          <w:sz w:val="32"/>
          <w:szCs w:val="32"/>
        </w:rPr>
        <w:t>以</w:t>
      </w:r>
      <w:r>
        <w:rPr>
          <w:rFonts w:eastAsia="仿宋_GB2312"/>
          <w:sz w:val="32"/>
          <w:szCs w:val="32"/>
        </w:rPr>
        <w:t>及本所关于上市公司收购</w:t>
      </w:r>
      <w:r>
        <w:rPr>
          <w:rFonts w:hint="eastAsia" w:eastAsia="仿宋_GB2312"/>
          <w:sz w:val="32"/>
          <w:szCs w:val="32"/>
        </w:rPr>
        <w:t>和</w:t>
      </w:r>
      <w:r>
        <w:rPr>
          <w:rFonts w:eastAsia="仿宋_GB2312"/>
          <w:sz w:val="32"/>
          <w:szCs w:val="32"/>
        </w:rPr>
        <w:t>股份权益变动有关规则中的股份应</w:t>
      </w:r>
      <w:r>
        <w:rPr>
          <w:rFonts w:hint="eastAsia" w:eastAsia="仿宋_GB2312"/>
          <w:sz w:val="32"/>
          <w:szCs w:val="32"/>
        </w:rPr>
        <w:t>当</w:t>
      </w:r>
      <w:r>
        <w:rPr>
          <w:rFonts w:eastAsia="仿宋_GB2312"/>
          <w:sz w:val="32"/>
          <w:szCs w:val="32"/>
        </w:rPr>
        <w:t>理解为不动产基金份额；股东应</w:t>
      </w:r>
      <w:r>
        <w:rPr>
          <w:rFonts w:hint="eastAsia" w:eastAsia="仿宋_GB2312"/>
          <w:sz w:val="32"/>
          <w:szCs w:val="32"/>
        </w:rPr>
        <w:t>当</w:t>
      </w:r>
      <w:r>
        <w:rPr>
          <w:rFonts w:eastAsia="仿宋_GB2312"/>
          <w:sz w:val="32"/>
          <w:szCs w:val="32"/>
        </w:rPr>
        <w:t>理解为不动产基金份额持有人；控股股东应</w:t>
      </w:r>
      <w:r>
        <w:rPr>
          <w:rFonts w:hint="eastAsia" w:eastAsia="仿宋_GB2312"/>
          <w:sz w:val="32"/>
          <w:szCs w:val="32"/>
        </w:rPr>
        <w:t>当</w:t>
      </w:r>
      <w:r>
        <w:rPr>
          <w:rFonts w:eastAsia="仿宋_GB2312"/>
          <w:sz w:val="32"/>
          <w:szCs w:val="32"/>
        </w:rPr>
        <w:t>理解为拥有不动产基金控制权的不动产基金份额持有人；股东会应</w:t>
      </w:r>
      <w:r>
        <w:rPr>
          <w:rFonts w:hint="eastAsia" w:eastAsia="仿宋_GB2312"/>
          <w:sz w:val="32"/>
          <w:szCs w:val="32"/>
        </w:rPr>
        <w:t>当</w:t>
      </w:r>
      <w:r>
        <w:rPr>
          <w:rFonts w:eastAsia="仿宋_GB2312"/>
          <w:sz w:val="32"/>
          <w:szCs w:val="32"/>
        </w:rPr>
        <w:t>理解为不动产基金份额持有人</w:t>
      </w:r>
      <w:r>
        <w:rPr>
          <w:rFonts w:hint="eastAsia" w:eastAsia="仿宋_GB2312"/>
          <w:sz w:val="32"/>
          <w:szCs w:val="32"/>
        </w:rPr>
        <w:t>大会</w:t>
      </w:r>
      <w:r>
        <w:rPr>
          <w:rFonts w:eastAsia="仿宋_GB2312"/>
          <w:sz w:val="32"/>
          <w:szCs w:val="32"/>
        </w:rPr>
        <w:t>；上市公司董事会应当理解为基金管理人等在不动产基金业务活动中具</w:t>
      </w:r>
      <w:r>
        <w:rPr>
          <w:rFonts w:hint="eastAsia" w:eastAsia="仿宋_GB2312"/>
          <w:sz w:val="32"/>
          <w:szCs w:val="32"/>
        </w:rPr>
        <w:t>有</w:t>
      </w:r>
      <w:r>
        <w:rPr>
          <w:rFonts w:eastAsia="仿宋_GB2312"/>
          <w:sz w:val="32"/>
          <w:szCs w:val="32"/>
        </w:rPr>
        <w:t>同等职能的组织或</w:t>
      </w:r>
      <w:r>
        <w:rPr>
          <w:rFonts w:hint="eastAsia" w:eastAsia="仿宋_GB2312"/>
          <w:sz w:val="32"/>
          <w:szCs w:val="32"/>
        </w:rPr>
        <w:t>者</w:t>
      </w:r>
      <w:r>
        <w:rPr>
          <w:rFonts w:eastAsia="仿宋_GB2312"/>
          <w:sz w:val="32"/>
          <w:szCs w:val="32"/>
        </w:rPr>
        <w:t>机构。</w:t>
      </w:r>
    </w:p>
    <w:p w14:paraId="0BB589B4">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第六十七条 </w:t>
      </w:r>
      <w:r>
        <w:rPr>
          <w:rFonts w:eastAsia="仿宋_GB2312"/>
          <w:sz w:val="32"/>
          <w:szCs w:val="32"/>
        </w:rPr>
        <w:t>不动产基金上市、交易相关费用按照本所基金标准执行。</w:t>
      </w:r>
    </w:p>
    <w:p w14:paraId="10D922BB">
      <w:pPr>
        <w:pStyle w:val="54"/>
        <w:spacing w:line="540" w:lineRule="exact"/>
        <w:ind w:firstLine="640"/>
        <w:rPr>
          <w:rFonts w:eastAsia="仿宋_GB2312"/>
          <w:sz w:val="32"/>
          <w:szCs w:val="32"/>
        </w:rPr>
      </w:pPr>
      <w:r>
        <w:rPr>
          <w:rFonts w:eastAsia="仿宋_GB2312"/>
          <w:sz w:val="32"/>
          <w:szCs w:val="32"/>
        </w:rPr>
        <w:t>不动产基金非限售份额持有人参与要约收购业务，参照不动产基金交易的标准收费。</w:t>
      </w:r>
    </w:p>
    <w:p w14:paraId="2326371A">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第六十八条 </w:t>
      </w:r>
      <w:r>
        <w:rPr>
          <w:rFonts w:hint="eastAsia" w:eastAsia="仿宋_GB2312"/>
          <w:sz w:val="32"/>
          <w:szCs w:val="32"/>
        </w:rPr>
        <w:t>本</w:t>
      </w:r>
      <w:r>
        <w:rPr>
          <w:rFonts w:eastAsia="仿宋_GB2312"/>
          <w:sz w:val="32"/>
          <w:szCs w:val="32"/>
        </w:rPr>
        <w:t>办法</w:t>
      </w:r>
      <w:r>
        <w:rPr>
          <w:rFonts w:hint="eastAsia" w:eastAsia="仿宋_GB2312"/>
          <w:sz w:val="32"/>
          <w:szCs w:val="32"/>
        </w:rPr>
        <w:t>经本所理事会审议通过并报中国证监会批准后生效，修改时亦同。</w:t>
      </w:r>
    </w:p>
    <w:p w14:paraId="15A621CE">
      <w:pPr>
        <w:pStyle w:val="54"/>
        <w:numPr>
          <w:ilvl w:val="0"/>
          <w:numId w:val="0"/>
        </w:numPr>
        <w:spacing w:line="540" w:lineRule="exact"/>
        <w:ind w:left="0" w:leftChars="0" w:firstLine="643" w:firstLineChars="200"/>
        <w:rPr>
          <w:rFonts w:eastAsia="仿宋_GB2312"/>
          <w:sz w:val="32"/>
          <w:szCs w:val="32"/>
        </w:rPr>
      </w:pPr>
      <w:r>
        <w:rPr>
          <w:rFonts w:hint="eastAsia" w:ascii="仿宋_GB2312" w:hAnsi="仿宋" w:eastAsia="仿宋_GB2312" w:cs="Times New Roman"/>
          <w:b/>
          <w:bCs/>
          <w:i w:val="0"/>
          <w:color w:val="auto"/>
          <w:kern w:val="2"/>
          <w:sz w:val="32"/>
          <w:szCs w:val="32"/>
          <w:lang w:val="en-US" w:eastAsia="zh-CN" w:bidi="ar-SA"/>
        </w:rPr>
        <w:t xml:space="preserve">第六十九条 </w:t>
      </w:r>
      <w:r>
        <w:rPr>
          <w:rFonts w:eastAsia="仿宋_GB2312"/>
          <w:sz w:val="32"/>
          <w:szCs w:val="32"/>
        </w:rPr>
        <w:t>本办法由本所负责解释。</w:t>
      </w:r>
    </w:p>
    <w:p w14:paraId="52782103">
      <w:pPr>
        <w:pStyle w:val="54"/>
        <w:numPr>
          <w:ilvl w:val="0"/>
          <w:numId w:val="0"/>
        </w:numPr>
        <w:spacing w:line="540" w:lineRule="exact"/>
        <w:ind w:left="0" w:leftChars="0" w:firstLine="643" w:firstLineChars="200"/>
        <w:rPr>
          <w:rFonts w:hint="eastAsia" w:ascii="仿宋_GB2312" w:hAnsi="宋体" w:eastAsia="仿宋_GB2312" w:cs="宋体"/>
          <w:bCs/>
          <w:color w:val="000000"/>
          <w:kern w:val="0"/>
          <w:sz w:val="32"/>
          <w:szCs w:val="32"/>
        </w:rPr>
      </w:pPr>
      <w:r>
        <w:rPr>
          <w:rFonts w:hint="eastAsia" w:ascii="仿宋_GB2312" w:hAnsi="仿宋" w:eastAsia="仿宋_GB2312" w:cs="宋体"/>
          <w:b/>
          <w:bCs/>
          <w:i w:val="0"/>
          <w:color w:val="auto"/>
          <w:kern w:val="0"/>
          <w:sz w:val="32"/>
          <w:szCs w:val="32"/>
          <w:lang w:val="en-US" w:eastAsia="zh-CN" w:bidi="ar-SA"/>
        </w:rPr>
        <w:t xml:space="preserve">第七十条 </w:t>
      </w:r>
      <w:r>
        <w:rPr>
          <w:rFonts w:eastAsia="仿宋_GB2312"/>
          <w:sz w:val="32"/>
          <w:szCs w:val="32"/>
        </w:rPr>
        <w:t>本办法自发布之日起施行。</w:t>
      </w:r>
      <w:r>
        <w:rPr>
          <w:rFonts w:hint="eastAsia" w:eastAsia="仿宋_GB2312"/>
          <w:sz w:val="32"/>
          <w:szCs w:val="32"/>
        </w:rPr>
        <w:t>本所于2021年1月29日发布的《上海证券交易所公开募集基础设施证券投资基金（REITs）业务办法（试行）》（上证发〔2021〕9号）同时废止。</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altName w:val="宋体"/>
    <w:panose1 w:val="02010600000101010101"/>
    <w:charset w:val="86"/>
    <w:family w:val="modern"/>
    <w:pitch w:val="default"/>
    <w:sig w:usb0="00000000" w:usb1="00000000" w:usb2="00000002"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20204"/>
    <w:charset w:val="00"/>
    <w:family w:val="auto"/>
    <w:pitch w:val="default"/>
    <w:sig w:usb0="00000000" w:usb1="00000000" w:usb2="00000000" w:usb3="00000000" w:csb0="00000093" w:csb1="00000000"/>
  </w:font>
  <w:font w:name="Noto Naskh Arabic">
    <w:altName w:val="Sans Serif Collection"/>
    <w:panose1 w:val="020B0502040504020204"/>
    <w:charset w:val="00"/>
    <w:family w:val="auto"/>
    <w:pitch w:val="default"/>
    <w:sig w:usb0="00000000" w:usb1="00000000" w:usb2="00000008" w:usb3="00000000" w:csb0="00000041" w:csb1="00080000"/>
  </w:font>
  <w:font w:name="Frutiger 45 Light">
    <w:altName w:val="Segoe Print"/>
    <w:panose1 w:val="00000000000000000000"/>
    <w:charset w:val="01"/>
    <w:family w:val="auto"/>
    <w:pitch w:val="default"/>
    <w:sig w:usb0="00000000" w:usb1="00000000" w:usb2="00000000" w:usb3="00000000" w:csb0="00000193" w:csb1="00000000"/>
  </w:font>
  <w:font w:name="阿里巴巴普惠体 R">
    <w:altName w:val="宋体"/>
    <w:panose1 w:val="00020600040101010101"/>
    <w:charset w:val="86"/>
    <w:family w:val="auto"/>
    <w:pitch w:val="default"/>
    <w:sig w:usb0="00000000" w:usb1="00000000" w:usb2="0000001E" w:usb3="00000000" w:csb0="0004009F" w:csb1="00000000"/>
  </w:font>
  <w:font w:name="华文楷体">
    <w:altName w:val="楷体_GB2312"/>
    <w:panose1 w:val="02010600040101010101"/>
    <w:charset w:val="86"/>
    <w:family w:val="auto"/>
    <w:pitch w:val="default"/>
    <w:sig w:usb0="00000000" w:usb1="00000000" w:usb2="00000010" w:usb3="00000000" w:csb0="0004009F" w:csb1="00000000"/>
  </w:font>
  <w:font w:name="方正楷体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仪中宋简">
    <w:altName w:val="宋体"/>
    <w:panose1 w:val="02010600000101010101"/>
    <w:charset w:val="86"/>
    <w:family w:val="auto"/>
    <w:pitch w:val="default"/>
    <w:sig w:usb0="00000000" w:usb1="00000000" w:usb2="00000002" w:usb3="00000000" w:csb0="00040000" w:csb1="00000000"/>
  </w:font>
  <w:font w:name="Univers">
    <w:altName w:val="Segoe Print"/>
    <w:panose1 w:val="00000000000000000000"/>
    <w:charset w:val="00"/>
    <w:family w:val="swiss"/>
    <w:pitch w:val="default"/>
    <w:sig w:usb0="00000000" w:usb1="00000000" w:usb2="00000000" w:usb3="00000000" w:csb0="0000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Sans Serif Collection">
    <w:panose1 w:val="020B0502040504020204"/>
    <w:charset w:val="00"/>
    <w:family w:val="auto"/>
    <w:pitch w:val="default"/>
    <w:sig w:usb0="E857A3FF" w:usb1="4200605F" w:usb2="29100029" w:usb3="007B0631" w:csb0="000001D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729269951"/>
    </w:sdtPr>
    <w:sdtEndPr>
      <w:rPr>
        <w:rFonts w:ascii="宋体" w:hAnsi="宋体"/>
        <w:sz w:val="28"/>
        <w:szCs w:val="28"/>
      </w:rPr>
    </w:sdtEndPr>
    <w:sdtContent>
      <w:p w14:paraId="1F99E9AB">
        <w:pPr>
          <w:pStyle w:val="18"/>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sz w:val="28"/>
            <w:szCs w:val="28"/>
            <w:lang w:val="zh-CN"/>
          </w:rPr>
          <w:t>2</w:t>
        </w:r>
        <w:r>
          <w:rPr>
            <w:rFonts w:ascii="宋体" w:hAnsi="宋体"/>
            <w:sz w:val="28"/>
            <w:szCs w:val="28"/>
          </w:rPr>
          <w:fldChar w:fldCharType="end"/>
        </w:r>
        <w:r>
          <w:rPr>
            <w:rFonts w:hint="eastAsia"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A4CF">
    <w:pPr>
      <w:pStyle w:val="18"/>
      <w:framePr w:wrap="around" w:vAnchor="text" w:hAnchor="margin" w:xAlign="center" w:y="1"/>
      <w:rPr>
        <w:rStyle w:val="32"/>
      </w:rPr>
    </w:pPr>
  </w:p>
  <w:p w14:paraId="78B34EA9">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22</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3FF67927"/>
    <w:multiLevelType w:val="multilevel"/>
    <w:tmpl w:val="3FF67927"/>
    <w:lvl w:ilvl="0" w:tentative="0">
      <w:start w:val="1"/>
      <w:numFmt w:val="chineseCountingThousand"/>
      <w:lvlText w:val="（%1）"/>
      <w:lvlJc w:val="left"/>
      <w:pPr>
        <w:ind w:left="980" w:hanging="420"/>
      </w:pPr>
      <w:rPr>
        <w:rFonts w:hint="default"/>
      </w:rPr>
    </w:lvl>
    <w:lvl w:ilvl="1" w:tentative="0">
      <w:start w:val="1"/>
      <w:numFmt w:val="chineseCountingThousand"/>
      <w:suff w:val="nothing"/>
      <w:lvlText w:val="（%2）"/>
      <w:lvlJc w:val="left"/>
      <w:pPr>
        <w:ind w:left="2689" w:hanging="4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AC817FA"/>
    <w:multiLevelType w:val="multilevel"/>
    <w:tmpl w:val="4AC817FA"/>
    <w:lvl w:ilvl="0" w:tentative="0">
      <w:start w:val="1"/>
      <w:numFmt w:val="chineseCountingThousand"/>
      <w:suff w:val="nothing"/>
      <w:lvlText w:val="（%1）"/>
      <w:lvlJc w:val="left"/>
      <w:pPr>
        <w:ind w:left="1980" w:hanging="420"/>
      </w:pPr>
      <w:rPr>
        <w:rFonts w:hint="default"/>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A656DE"/>
    <w:multiLevelType w:val="multilevel"/>
    <w:tmpl w:val="5EA656DE"/>
    <w:lvl w:ilvl="0" w:tentative="0">
      <w:start w:val="1"/>
      <w:numFmt w:val="japaneseCounting"/>
      <w:pStyle w:val="89"/>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EF"/>
    <w:rsid w:val="00001B4B"/>
    <w:rsid w:val="00001C7D"/>
    <w:rsid w:val="00004247"/>
    <w:rsid w:val="000045DA"/>
    <w:rsid w:val="00007153"/>
    <w:rsid w:val="000123C7"/>
    <w:rsid w:val="00015CF8"/>
    <w:rsid w:val="00020051"/>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2CA3"/>
    <w:rsid w:val="00053847"/>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775DC"/>
    <w:rsid w:val="000803F2"/>
    <w:rsid w:val="00081D93"/>
    <w:rsid w:val="000825BD"/>
    <w:rsid w:val="000829BB"/>
    <w:rsid w:val="00084847"/>
    <w:rsid w:val="00085567"/>
    <w:rsid w:val="0008558C"/>
    <w:rsid w:val="0008603B"/>
    <w:rsid w:val="00092467"/>
    <w:rsid w:val="0009267E"/>
    <w:rsid w:val="000926AA"/>
    <w:rsid w:val="000932C8"/>
    <w:rsid w:val="00094F31"/>
    <w:rsid w:val="000A2AE9"/>
    <w:rsid w:val="000A328E"/>
    <w:rsid w:val="000A36F5"/>
    <w:rsid w:val="000A3859"/>
    <w:rsid w:val="000A4874"/>
    <w:rsid w:val="000A4E05"/>
    <w:rsid w:val="000A5BC9"/>
    <w:rsid w:val="000A5CA0"/>
    <w:rsid w:val="000A78EC"/>
    <w:rsid w:val="000B132A"/>
    <w:rsid w:val="000B135F"/>
    <w:rsid w:val="000B19DE"/>
    <w:rsid w:val="000B1C87"/>
    <w:rsid w:val="000B1CA3"/>
    <w:rsid w:val="000B2003"/>
    <w:rsid w:val="000B233F"/>
    <w:rsid w:val="000B5A96"/>
    <w:rsid w:val="000C1296"/>
    <w:rsid w:val="000D3E58"/>
    <w:rsid w:val="000D5E80"/>
    <w:rsid w:val="000D6713"/>
    <w:rsid w:val="000D6920"/>
    <w:rsid w:val="000E0C54"/>
    <w:rsid w:val="000E0F35"/>
    <w:rsid w:val="000E1D7A"/>
    <w:rsid w:val="000E28C6"/>
    <w:rsid w:val="000E3BF1"/>
    <w:rsid w:val="000E4C1A"/>
    <w:rsid w:val="000E75BE"/>
    <w:rsid w:val="000E766A"/>
    <w:rsid w:val="000E7A26"/>
    <w:rsid w:val="000E7A4C"/>
    <w:rsid w:val="000F1729"/>
    <w:rsid w:val="000F234A"/>
    <w:rsid w:val="000F3A20"/>
    <w:rsid w:val="000F3DDE"/>
    <w:rsid w:val="000F52A2"/>
    <w:rsid w:val="000F7690"/>
    <w:rsid w:val="00100414"/>
    <w:rsid w:val="00103077"/>
    <w:rsid w:val="00104481"/>
    <w:rsid w:val="0010553A"/>
    <w:rsid w:val="00106537"/>
    <w:rsid w:val="00106E5E"/>
    <w:rsid w:val="00112324"/>
    <w:rsid w:val="0011790D"/>
    <w:rsid w:val="00120EA1"/>
    <w:rsid w:val="00121D8C"/>
    <w:rsid w:val="00126898"/>
    <w:rsid w:val="00127BB8"/>
    <w:rsid w:val="001303BE"/>
    <w:rsid w:val="001313FC"/>
    <w:rsid w:val="00131C3D"/>
    <w:rsid w:val="001320F9"/>
    <w:rsid w:val="0013265E"/>
    <w:rsid w:val="00132F87"/>
    <w:rsid w:val="00135048"/>
    <w:rsid w:val="00135676"/>
    <w:rsid w:val="00136D79"/>
    <w:rsid w:val="00136E1D"/>
    <w:rsid w:val="00141A5B"/>
    <w:rsid w:val="00143741"/>
    <w:rsid w:val="00144741"/>
    <w:rsid w:val="00145463"/>
    <w:rsid w:val="00145E5C"/>
    <w:rsid w:val="00146E00"/>
    <w:rsid w:val="0014724B"/>
    <w:rsid w:val="0014762F"/>
    <w:rsid w:val="00152423"/>
    <w:rsid w:val="00156E9B"/>
    <w:rsid w:val="001607D9"/>
    <w:rsid w:val="00160C0B"/>
    <w:rsid w:val="00162362"/>
    <w:rsid w:val="0016249D"/>
    <w:rsid w:val="001628DD"/>
    <w:rsid w:val="00162B2D"/>
    <w:rsid w:val="001636A4"/>
    <w:rsid w:val="00163F0D"/>
    <w:rsid w:val="00165363"/>
    <w:rsid w:val="001675AF"/>
    <w:rsid w:val="00170CEC"/>
    <w:rsid w:val="0017731B"/>
    <w:rsid w:val="00177844"/>
    <w:rsid w:val="00185194"/>
    <w:rsid w:val="00186386"/>
    <w:rsid w:val="00191A1F"/>
    <w:rsid w:val="0019316F"/>
    <w:rsid w:val="001945AE"/>
    <w:rsid w:val="00195F7F"/>
    <w:rsid w:val="00197495"/>
    <w:rsid w:val="00197504"/>
    <w:rsid w:val="001A27B8"/>
    <w:rsid w:val="001A306E"/>
    <w:rsid w:val="001A4038"/>
    <w:rsid w:val="001A5E3D"/>
    <w:rsid w:val="001B0CC8"/>
    <w:rsid w:val="001B0E13"/>
    <w:rsid w:val="001B2E0F"/>
    <w:rsid w:val="001B412F"/>
    <w:rsid w:val="001B57D7"/>
    <w:rsid w:val="001B59BE"/>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04177"/>
    <w:rsid w:val="0021054A"/>
    <w:rsid w:val="002106B0"/>
    <w:rsid w:val="00210AB6"/>
    <w:rsid w:val="00211106"/>
    <w:rsid w:val="0021196D"/>
    <w:rsid w:val="00212492"/>
    <w:rsid w:val="002141CC"/>
    <w:rsid w:val="0021537B"/>
    <w:rsid w:val="00217D52"/>
    <w:rsid w:val="00220EFA"/>
    <w:rsid w:val="002215D4"/>
    <w:rsid w:val="0022256E"/>
    <w:rsid w:val="0022274E"/>
    <w:rsid w:val="00222DC0"/>
    <w:rsid w:val="002243B6"/>
    <w:rsid w:val="00227A2C"/>
    <w:rsid w:val="00230603"/>
    <w:rsid w:val="00230694"/>
    <w:rsid w:val="00230E4E"/>
    <w:rsid w:val="00232702"/>
    <w:rsid w:val="00232CC1"/>
    <w:rsid w:val="00232F16"/>
    <w:rsid w:val="00233149"/>
    <w:rsid w:val="002344BE"/>
    <w:rsid w:val="00234A4F"/>
    <w:rsid w:val="00234E30"/>
    <w:rsid w:val="00235263"/>
    <w:rsid w:val="00240656"/>
    <w:rsid w:val="00241C94"/>
    <w:rsid w:val="002429F4"/>
    <w:rsid w:val="002436E6"/>
    <w:rsid w:val="00243E11"/>
    <w:rsid w:val="002441E9"/>
    <w:rsid w:val="00244718"/>
    <w:rsid w:val="00245FED"/>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2A62"/>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3E7"/>
    <w:rsid w:val="002C7AC9"/>
    <w:rsid w:val="002C7EF9"/>
    <w:rsid w:val="002D03C3"/>
    <w:rsid w:val="002D1CB8"/>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6B5E"/>
    <w:rsid w:val="00301561"/>
    <w:rsid w:val="00301B8F"/>
    <w:rsid w:val="0030332C"/>
    <w:rsid w:val="00304446"/>
    <w:rsid w:val="00304524"/>
    <w:rsid w:val="00304AB8"/>
    <w:rsid w:val="00306DDB"/>
    <w:rsid w:val="00306F9F"/>
    <w:rsid w:val="003103D2"/>
    <w:rsid w:val="00310AA0"/>
    <w:rsid w:val="003128D1"/>
    <w:rsid w:val="0031389B"/>
    <w:rsid w:val="00314881"/>
    <w:rsid w:val="00315A37"/>
    <w:rsid w:val="003203A2"/>
    <w:rsid w:val="00320E81"/>
    <w:rsid w:val="00322808"/>
    <w:rsid w:val="00323793"/>
    <w:rsid w:val="0032399D"/>
    <w:rsid w:val="00326C6B"/>
    <w:rsid w:val="00327E4E"/>
    <w:rsid w:val="003317AD"/>
    <w:rsid w:val="0033294B"/>
    <w:rsid w:val="00333B5A"/>
    <w:rsid w:val="003369A0"/>
    <w:rsid w:val="0034251F"/>
    <w:rsid w:val="00343987"/>
    <w:rsid w:val="003459FC"/>
    <w:rsid w:val="00350A49"/>
    <w:rsid w:val="0035170E"/>
    <w:rsid w:val="0035204B"/>
    <w:rsid w:val="00352DDF"/>
    <w:rsid w:val="00353B18"/>
    <w:rsid w:val="00353F36"/>
    <w:rsid w:val="003544A4"/>
    <w:rsid w:val="003550C0"/>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295A"/>
    <w:rsid w:val="003935C7"/>
    <w:rsid w:val="00393AC8"/>
    <w:rsid w:val="00397420"/>
    <w:rsid w:val="003979FD"/>
    <w:rsid w:val="003A2017"/>
    <w:rsid w:val="003A4275"/>
    <w:rsid w:val="003A46E9"/>
    <w:rsid w:val="003A4957"/>
    <w:rsid w:val="003A524B"/>
    <w:rsid w:val="003A5630"/>
    <w:rsid w:val="003A5A71"/>
    <w:rsid w:val="003A646D"/>
    <w:rsid w:val="003B1962"/>
    <w:rsid w:val="003B1B87"/>
    <w:rsid w:val="003B1ED9"/>
    <w:rsid w:val="003B2F8E"/>
    <w:rsid w:val="003B45A3"/>
    <w:rsid w:val="003B6094"/>
    <w:rsid w:val="003B65E2"/>
    <w:rsid w:val="003B7D3A"/>
    <w:rsid w:val="003C23AD"/>
    <w:rsid w:val="003C293C"/>
    <w:rsid w:val="003C31C1"/>
    <w:rsid w:val="003C37A4"/>
    <w:rsid w:val="003C37A5"/>
    <w:rsid w:val="003C5E90"/>
    <w:rsid w:val="003C7171"/>
    <w:rsid w:val="003D1A1B"/>
    <w:rsid w:val="003D24C9"/>
    <w:rsid w:val="003D3027"/>
    <w:rsid w:val="003D4181"/>
    <w:rsid w:val="003D4890"/>
    <w:rsid w:val="003D5445"/>
    <w:rsid w:val="003D5E39"/>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061E5"/>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7D0"/>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0D74"/>
    <w:rsid w:val="004B2CC4"/>
    <w:rsid w:val="004B7CA4"/>
    <w:rsid w:val="004C0FBE"/>
    <w:rsid w:val="004C19B8"/>
    <w:rsid w:val="004C2EB9"/>
    <w:rsid w:val="004C3061"/>
    <w:rsid w:val="004C30AE"/>
    <w:rsid w:val="004C36A0"/>
    <w:rsid w:val="004C3E81"/>
    <w:rsid w:val="004C5C9E"/>
    <w:rsid w:val="004C6332"/>
    <w:rsid w:val="004C75A5"/>
    <w:rsid w:val="004C7695"/>
    <w:rsid w:val="004C7A14"/>
    <w:rsid w:val="004D006C"/>
    <w:rsid w:val="004D10DD"/>
    <w:rsid w:val="004D192C"/>
    <w:rsid w:val="004D2769"/>
    <w:rsid w:val="004D3CA9"/>
    <w:rsid w:val="004D3D37"/>
    <w:rsid w:val="004D3EE9"/>
    <w:rsid w:val="004D47EE"/>
    <w:rsid w:val="004D56FB"/>
    <w:rsid w:val="004D5968"/>
    <w:rsid w:val="004E3143"/>
    <w:rsid w:val="004E46A0"/>
    <w:rsid w:val="004E60FA"/>
    <w:rsid w:val="004E70D1"/>
    <w:rsid w:val="004F0560"/>
    <w:rsid w:val="004F0E96"/>
    <w:rsid w:val="004F1E6B"/>
    <w:rsid w:val="004F282C"/>
    <w:rsid w:val="005012B2"/>
    <w:rsid w:val="00501E8E"/>
    <w:rsid w:val="00502B77"/>
    <w:rsid w:val="0050608F"/>
    <w:rsid w:val="00506CFA"/>
    <w:rsid w:val="00510461"/>
    <w:rsid w:val="00511DA3"/>
    <w:rsid w:val="00514115"/>
    <w:rsid w:val="00514D0D"/>
    <w:rsid w:val="00515589"/>
    <w:rsid w:val="0051598C"/>
    <w:rsid w:val="005166C5"/>
    <w:rsid w:val="00523A61"/>
    <w:rsid w:val="00524254"/>
    <w:rsid w:val="00524516"/>
    <w:rsid w:val="0052596B"/>
    <w:rsid w:val="005267E3"/>
    <w:rsid w:val="005269DB"/>
    <w:rsid w:val="00526EC7"/>
    <w:rsid w:val="00530BB1"/>
    <w:rsid w:val="0053123E"/>
    <w:rsid w:val="0053175B"/>
    <w:rsid w:val="00531853"/>
    <w:rsid w:val="00532C03"/>
    <w:rsid w:val="0053321A"/>
    <w:rsid w:val="005338B0"/>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7D3"/>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AF3"/>
    <w:rsid w:val="005B1EF7"/>
    <w:rsid w:val="005B3346"/>
    <w:rsid w:val="005B4A0C"/>
    <w:rsid w:val="005B73E7"/>
    <w:rsid w:val="005B740A"/>
    <w:rsid w:val="005C0AA5"/>
    <w:rsid w:val="005C1D93"/>
    <w:rsid w:val="005C2403"/>
    <w:rsid w:val="005C533A"/>
    <w:rsid w:val="005C7940"/>
    <w:rsid w:val="005D1E77"/>
    <w:rsid w:val="005D34F3"/>
    <w:rsid w:val="005D5F97"/>
    <w:rsid w:val="005D655A"/>
    <w:rsid w:val="005E4BD1"/>
    <w:rsid w:val="005E6B96"/>
    <w:rsid w:val="005E6D26"/>
    <w:rsid w:val="005F0B5C"/>
    <w:rsid w:val="005F1000"/>
    <w:rsid w:val="005F1D4A"/>
    <w:rsid w:val="005F5CEB"/>
    <w:rsid w:val="006012ED"/>
    <w:rsid w:val="00604249"/>
    <w:rsid w:val="006044E2"/>
    <w:rsid w:val="006046F4"/>
    <w:rsid w:val="00604D58"/>
    <w:rsid w:val="00607B22"/>
    <w:rsid w:val="00612558"/>
    <w:rsid w:val="00613446"/>
    <w:rsid w:val="006160EB"/>
    <w:rsid w:val="006224DE"/>
    <w:rsid w:val="006226D3"/>
    <w:rsid w:val="00622999"/>
    <w:rsid w:val="00623F2A"/>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1A18"/>
    <w:rsid w:val="006733B8"/>
    <w:rsid w:val="00675DA4"/>
    <w:rsid w:val="0067618A"/>
    <w:rsid w:val="006774D8"/>
    <w:rsid w:val="00677C37"/>
    <w:rsid w:val="00687AD3"/>
    <w:rsid w:val="00687B1F"/>
    <w:rsid w:val="006942A0"/>
    <w:rsid w:val="006950E9"/>
    <w:rsid w:val="00695BE1"/>
    <w:rsid w:val="00697528"/>
    <w:rsid w:val="006A0837"/>
    <w:rsid w:val="006A1C89"/>
    <w:rsid w:val="006A2EFC"/>
    <w:rsid w:val="006A51C3"/>
    <w:rsid w:val="006A5E0F"/>
    <w:rsid w:val="006B12E3"/>
    <w:rsid w:val="006B1CB8"/>
    <w:rsid w:val="006B212A"/>
    <w:rsid w:val="006B309B"/>
    <w:rsid w:val="006B3B78"/>
    <w:rsid w:val="006B3EFA"/>
    <w:rsid w:val="006B42DD"/>
    <w:rsid w:val="006B5FA3"/>
    <w:rsid w:val="006B71BA"/>
    <w:rsid w:val="006B7AD2"/>
    <w:rsid w:val="006C1F3C"/>
    <w:rsid w:val="006C271C"/>
    <w:rsid w:val="006C3AFA"/>
    <w:rsid w:val="006C4D4D"/>
    <w:rsid w:val="006C4F79"/>
    <w:rsid w:val="006C7059"/>
    <w:rsid w:val="006D070F"/>
    <w:rsid w:val="006D46CE"/>
    <w:rsid w:val="006D5D36"/>
    <w:rsid w:val="006D77DA"/>
    <w:rsid w:val="006E1373"/>
    <w:rsid w:val="006E1852"/>
    <w:rsid w:val="006E2493"/>
    <w:rsid w:val="006E3C7D"/>
    <w:rsid w:val="006E3D07"/>
    <w:rsid w:val="006E3E84"/>
    <w:rsid w:val="006E43AF"/>
    <w:rsid w:val="006E53B6"/>
    <w:rsid w:val="006E5931"/>
    <w:rsid w:val="006F0FD0"/>
    <w:rsid w:val="006F1AC8"/>
    <w:rsid w:val="006F2772"/>
    <w:rsid w:val="006F3EC4"/>
    <w:rsid w:val="006F4002"/>
    <w:rsid w:val="006F4BC0"/>
    <w:rsid w:val="006F76EC"/>
    <w:rsid w:val="00700E2A"/>
    <w:rsid w:val="00700EDE"/>
    <w:rsid w:val="00701434"/>
    <w:rsid w:val="00701995"/>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2DB7"/>
    <w:rsid w:val="0072316A"/>
    <w:rsid w:val="007235A9"/>
    <w:rsid w:val="0073155B"/>
    <w:rsid w:val="007315AB"/>
    <w:rsid w:val="00733A2F"/>
    <w:rsid w:val="00735AD8"/>
    <w:rsid w:val="00737001"/>
    <w:rsid w:val="00737881"/>
    <w:rsid w:val="00737B33"/>
    <w:rsid w:val="0074005F"/>
    <w:rsid w:val="0074121D"/>
    <w:rsid w:val="00741338"/>
    <w:rsid w:val="00743198"/>
    <w:rsid w:val="00743305"/>
    <w:rsid w:val="007437FC"/>
    <w:rsid w:val="00746780"/>
    <w:rsid w:val="00747D97"/>
    <w:rsid w:val="007527F4"/>
    <w:rsid w:val="00753327"/>
    <w:rsid w:val="007533EB"/>
    <w:rsid w:val="00755115"/>
    <w:rsid w:val="00760416"/>
    <w:rsid w:val="007677C1"/>
    <w:rsid w:val="00772ABE"/>
    <w:rsid w:val="00772D4D"/>
    <w:rsid w:val="00772E38"/>
    <w:rsid w:val="00773AF6"/>
    <w:rsid w:val="00773E8A"/>
    <w:rsid w:val="0077613F"/>
    <w:rsid w:val="0077623D"/>
    <w:rsid w:val="007763AD"/>
    <w:rsid w:val="00776939"/>
    <w:rsid w:val="007808CE"/>
    <w:rsid w:val="007825D2"/>
    <w:rsid w:val="007830C3"/>
    <w:rsid w:val="00784B4B"/>
    <w:rsid w:val="00784DB3"/>
    <w:rsid w:val="00784FDA"/>
    <w:rsid w:val="00790888"/>
    <w:rsid w:val="00790B83"/>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4E4"/>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7E1"/>
    <w:rsid w:val="00821B0F"/>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1D5"/>
    <w:rsid w:val="00844BD0"/>
    <w:rsid w:val="00844F9D"/>
    <w:rsid w:val="00847709"/>
    <w:rsid w:val="00850281"/>
    <w:rsid w:val="00850425"/>
    <w:rsid w:val="00850919"/>
    <w:rsid w:val="00850BE1"/>
    <w:rsid w:val="0085158C"/>
    <w:rsid w:val="00851868"/>
    <w:rsid w:val="00854C50"/>
    <w:rsid w:val="008600BD"/>
    <w:rsid w:val="008637C1"/>
    <w:rsid w:val="00863F8B"/>
    <w:rsid w:val="00864D13"/>
    <w:rsid w:val="00865189"/>
    <w:rsid w:val="00865EA5"/>
    <w:rsid w:val="00865EE8"/>
    <w:rsid w:val="00870D86"/>
    <w:rsid w:val="00871824"/>
    <w:rsid w:val="0087227B"/>
    <w:rsid w:val="00872F14"/>
    <w:rsid w:val="00874B93"/>
    <w:rsid w:val="00875DE0"/>
    <w:rsid w:val="00876B78"/>
    <w:rsid w:val="008771F2"/>
    <w:rsid w:val="008804F2"/>
    <w:rsid w:val="00882E61"/>
    <w:rsid w:val="00883A4B"/>
    <w:rsid w:val="00883BB2"/>
    <w:rsid w:val="00887655"/>
    <w:rsid w:val="008876D1"/>
    <w:rsid w:val="0088799E"/>
    <w:rsid w:val="0089079B"/>
    <w:rsid w:val="00890AAC"/>
    <w:rsid w:val="008934F6"/>
    <w:rsid w:val="00896230"/>
    <w:rsid w:val="00896FD1"/>
    <w:rsid w:val="008A007C"/>
    <w:rsid w:val="008A1745"/>
    <w:rsid w:val="008A5BEB"/>
    <w:rsid w:val="008A5E4F"/>
    <w:rsid w:val="008B2795"/>
    <w:rsid w:val="008B27D1"/>
    <w:rsid w:val="008B2F51"/>
    <w:rsid w:val="008B3083"/>
    <w:rsid w:val="008B3745"/>
    <w:rsid w:val="008B577C"/>
    <w:rsid w:val="008C09C1"/>
    <w:rsid w:val="008C0A41"/>
    <w:rsid w:val="008C2274"/>
    <w:rsid w:val="008C3EF1"/>
    <w:rsid w:val="008C76F6"/>
    <w:rsid w:val="008D0B9E"/>
    <w:rsid w:val="008D3A0C"/>
    <w:rsid w:val="008D3ECB"/>
    <w:rsid w:val="008D40AB"/>
    <w:rsid w:val="008D4424"/>
    <w:rsid w:val="008D48F1"/>
    <w:rsid w:val="008D4D45"/>
    <w:rsid w:val="008D7607"/>
    <w:rsid w:val="008D7852"/>
    <w:rsid w:val="008E0EB8"/>
    <w:rsid w:val="008E21BB"/>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19BC"/>
    <w:rsid w:val="009023DE"/>
    <w:rsid w:val="00903A38"/>
    <w:rsid w:val="00904278"/>
    <w:rsid w:val="0090442A"/>
    <w:rsid w:val="00910AFE"/>
    <w:rsid w:val="00910C49"/>
    <w:rsid w:val="00911C77"/>
    <w:rsid w:val="0091360C"/>
    <w:rsid w:val="00914DA3"/>
    <w:rsid w:val="009156B2"/>
    <w:rsid w:val="00915819"/>
    <w:rsid w:val="0091791D"/>
    <w:rsid w:val="00920E8C"/>
    <w:rsid w:val="009225B6"/>
    <w:rsid w:val="009227A4"/>
    <w:rsid w:val="009267B5"/>
    <w:rsid w:val="0092681A"/>
    <w:rsid w:val="0092735F"/>
    <w:rsid w:val="009274DB"/>
    <w:rsid w:val="00930A5A"/>
    <w:rsid w:val="00931828"/>
    <w:rsid w:val="009329BE"/>
    <w:rsid w:val="00932D6A"/>
    <w:rsid w:val="00935447"/>
    <w:rsid w:val="0093659D"/>
    <w:rsid w:val="00937FA6"/>
    <w:rsid w:val="00941EA3"/>
    <w:rsid w:val="00942841"/>
    <w:rsid w:val="0094344B"/>
    <w:rsid w:val="00944CA6"/>
    <w:rsid w:val="009469CA"/>
    <w:rsid w:val="00946AF3"/>
    <w:rsid w:val="00946E57"/>
    <w:rsid w:val="00947BF3"/>
    <w:rsid w:val="00950B78"/>
    <w:rsid w:val="009516C0"/>
    <w:rsid w:val="00956996"/>
    <w:rsid w:val="00956D22"/>
    <w:rsid w:val="009571BD"/>
    <w:rsid w:val="00957968"/>
    <w:rsid w:val="00961E9B"/>
    <w:rsid w:val="00962170"/>
    <w:rsid w:val="00962833"/>
    <w:rsid w:val="00962E5E"/>
    <w:rsid w:val="009637B8"/>
    <w:rsid w:val="009661BD"/>
    <w:rsid w:val="00967F26"/>
    <w:rsid w:val="00972165"/>
    <w:rsid w:val="0097258E"/>
    <w:rsid w:val="009753BF"/>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9E4"/>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1DED"/>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67A4C"/>
    <w:rsid w:val="00A715FB"/>
    <w:rsid w:val="00A74481"/>
    <w:rsid w:val="00A76668"/>
    <w:rsid w:val="00A81A50"/>
    <w:rsid w:val="00A839F1"/>
    <w:rsid w:val="00A83B31"/>
    <w:rsid w:val="00A843AB"/>
    <w:rsid w:val="00A852EF"/>
    <w:rsid w:val="00A86A70"/>
    <w:rsid w:val="00A8789D"/>
    <w:rsid w:val="00A87BB6"/>
    <w:rsid w:val="00A90F75"/>
    <w:rsid w:val="00A91F70"/>
    <w:rsid w:val="00A924DE"/>
    <w:rsid w:val="00A93CE5"/>
    <w:rsid w:val="00A9403B"/>
    <w:rsid w:val="00A9416E"/>
    <w:rsid w:val="00A94B78"/>
    <w:rsid w:val="00A95030"/>
    <w:rsid w:val="00A95046"/>
    <w:rsid w:val="00A9543E"/>
    <w:rsid w:val="00A969AB"/>
    <w:rsid w:val="00A9709A"/>
    <w:rsid w:val="00A97815"/>
    <w:rsid w:val="00A978E6"/>
    <w:rsid w:val="00A97ED5"/>
    <w:rsid w:val="00AA0541"/>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48C0"/>
    <w:rsid w:val="00AD66B6"/>
    <w:rsid w:val="00AD74AE"/>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5BE"/>
    <w:rsid w:val="00B24DED"/>
    <w:rsid w:val="00B274D6"/>
    <w:rsid w:val="00B27721"/>
    <w:rsid w:val="00B27751"/>
    <w:rsid w:val="00B3095A"/>
    <w:rsid w:val="00B310D5"/>
    <w:rsid w:val="00B318A4"/>
    <w:rsid w:val="00B33921"/>
    <w:rsid w:val="00B3428E"/>
    <w:rsid w:val="00B352BC"/>
    <w:rsid w:val="00B417B5"/>
    <w:rsid w:val="00B41CF9"/>
    <w:rsid w:val="00B42677"/>
    <w:rsid w:val="00B46694"/>
    <w:rsid w:val="00B5283F"/>
    <w:rsid w:val="00B57B90"/>
    <w:rsid w:val="00B62790"/>
    <w:rsid w:val="00B62F7C"/>
    <w:rsid w:val="00B6567C"/>
    <w:rsid w:val="00B661EC"/>
    <w:rsid w:val="00B6696B"/>
    <w:rsid w:val="00B671AF"/>
    <w:rsid w:val="00B67E73"/>
    <w:rsid w:val="00B70B73"/>
    <w:rsid w:val="00B72763"/>
    <w:rsid w:val="00B72D35"/>
    <w:rsid w:val="00B73134"/>
    <w:rsid w:val="00B73B59"/>
    <w:rsid w:val="00B74CFF"/>
    <w:rsid w:val="00B777DC"/>
    <w:rsid w:val="00B81C86"/>
    <w:rsid w:val="00B83E03"/>
    <w:rsid w:val="00B8482E"/>
    <w:rsid w:val="00B84D0F"/>
    <w:rsid w:val="00B85CB9"/>
    <w:rsid w:val="00B86ACD"/>
    <w:rsid w:val="00B86C6A"/>
    <w:rsid w:val="00B9008D"/>
    <w:rsid w:val="00B91F88"/>
    <w:rsid w:val="00B92038"/>
    <w:rsid w:val="00B94519"/>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0CEB"/>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3A0F"/>
    <w:rsid w:val="00C044E4"/>
    <w:rsid w:val="00C04696"/>
    <w:rsid w:val="00C074F2"/>
    <w:rsid w:val="00C07E89"/>
    <w:rsid w:val="00C13461"/>
    <w:rsid w:val="00C13D1E"/>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F21"/>
    <w:rsid w:val="00C761FD"/>
    <w:rsid w:val="00C762F4"/>
    <w:rsid w:val="00C82C63"/>
    <w:rsid w:val="00C833B0"/>
    <w:rsid w:val="00C84700"/>
    <w:rsid w:val="00C85236"/>
    <w:rsid w:val="00C8595A"/>
    <w:rsid w:val="00C86B02"/>
    <w:rsid w:val="00C86E5D"/>
    <w:rsid w:val="00C86FEF"/>
    <w:rsid w:val="00C87D3B"/>
    <w:rsid w:val="00C9066A"/>
    <w:rsid w:val="00C91337"/>
    <w:rsid w:val="00C91B62"/>
    <w:rsid w:val="00C944B8"/>
    <w:rsid w:val="00C95850"/>
    <w:rsid w:val="00C959C2"/>
    <w:rsid w:val="00C962A7"/>
    <w:rsid w:val="00CA08D1"/>
    <w:rsid w:val="00CA1284"/>
    <w:rsid w:val="00CA1ABB"/>
    <w:rsid w:val="00CA394C"/>
    <w:rsid w:val="00CA3CB8"/>
    <w:rsid w:val="00CA5E67"/>
    <w:rsid w:val="00CB132D"/>
    <w:rsid w:val="00CB5201"/>
    <w:rsid w:val="00CB5610"/>
    <w:rsid w:val="00CB5AE1"/>
    <w:rsid w:val="00CB64F4"/>
    <w:rsid w:val="00CC093D"/>
    <w:rsid w:val="00CC0B7B"/>
    <w:rsid w:val="00CC189B"/>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41CA"/>
    <w:rsid w:val="00D0552B"/>
    <w:rsid w:val="00D05D21"/>
    <w:rsid w:val="00D0686C"/>
    <w:rsid w:val="00D06FE9"/>
    <w:rsid w:val="00D07D94"/>
    <w:rsid w:val="00D07DD8"/>
    <w:rsid w:val="00D07E97"/>
    <w:rsid w:val="00D109A6"/>
    <w:rsid w:val="00D12BCF"/>
    <w:rsid w:val="00D12C00"/>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95A"/>
    <w:rsid w:val="00D61C74"/>
    <w:rsid w:val="00D627C9"/>
    <w:rsid w:val="00D64812"/>
    <w:rsid w:val="00D64971"/>
    <w:rsid w:val="00D671AC"/>
    <w:rsid w:val="00D7006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2072"/>
    <w:rsid w:val="00DE301F"/>
    <w:rsid w:val="00DE37DF"/>
    <w:rsid w:val="00DE38BC"/>
    <w:rsid w:val="00DE421D"/>
    <w:rsid w:val="00DE4905"/>
    <w:rsid w:val="00DE4F52"/>
    <w:rsid w:val="00DE7FCC"/>
    <w:rsid w:val="00DF1725"/>
    <w:rsid w:val="00DF200B"/>
    <w:rsid w:val="00DF21E2"/>
    <w:rsid w:val="00DF2A0D"/>
    <w:rsid w:val="00DF527D"/>
    <w:rsid w:val="00DF594C"/>
    <w:rsid w:val="00DF59AD"/>
    <w:rsid w:val="00DF6F3F"/>
    <w:rsid w:val="00DF7696"/>
    <w:rsid w:val="00E02B93"/>
    <w:rsid w:val="00E037E4"/>
    <w:rsid w:val="00E05AE9"/>
    <w:rsid w:val="00E06D30"/>
    <w:rsid w:val="00E06E44"/>
    <w:rsid w:val="00E10910"/>
    <w:rsid w:val="00E1170D"/>
    <w:rsid w:val="00E11A6F"/>
    <w:rsid w:val="00E11B42"/>
    <w:rsid w:val="00E124E5"/>
    <w:rsid w:val="00E161E6"/>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1734"/>
    <w:rsid w:val="00E42F99"/>
    <w:rsid w:val="00E43C6C"/>
    <w:rsid w:val="00E4406C"/>
    <w:rsid w:val="00E44550"/>
    <w:rsid w:val="00E449BA"/>
    <w:rsid w:val="00E46994"/>
    <w:rsid w:val="00E46E15"/>
    <w:rsid w:val="00E5043D"/>
    <w:rsid w:val="00E5078A"/>
    <w:rsid w:val="00E50CE8"/>
    <w:rsid w:val="00E5173A"/>
    <w:rsid w:val="00E51EB6"/>
    <w:rsid w:val="00E52E6F"/>
    <w:rsid w:val="00E57C14"/>
    <w:rsid w:val="00E610DA"/>
    <w:rsid w:val="00E6461E"/>
    <w:rsid w:val="00E71441"/>
    <w:rsid w:val="00E71875"/>
    <w:rsid w:val="00E71BF0"/>
    <w:rsid w:val="00E72D86"/>
    <w:rsid w:val="00E77C2F"/>
    <w:rsid w:val="00E80F43"/>
    <w:rsid w:val="00E818EC"/>
    <w:rsid w:val="00E81A7A"/>
    <w:rsid w:val="00E82376"/>
    <w:rsid w:val="00E82B0D"/>
    <w:rsid w:val="00E833C4"/>
    <w:rsid w:val="00E837DF"/>
    <w:rsid w:val="00E86D70"/>
    <w:rsid w:val="00E87403"/>
    <w:rsid w:val="00E87DED"/>
    <w:rsid w:val="00E90204"/>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B73E3"/>
    <w:rsid w:val="00EC06BA"/>
    <w:rsid w:val="00EC21DD"/>
    <w:rsid w:val="00EC3A09"/>
    <w:rsid w:val="00EC6FF1"/>
    <w:rsid w:val="00EC74A0"/>
    <w:rsid w:val="00EC778B"/>
    <w:rsid w:val="00ED1009"/>
    <w:rsid w:val="00ED240E"/>
    <w:rsid w:val="00ED3827"/>
    <w:rsid w:val="00ED42EC"/>
    <w:rsid w:val="00ED6233"/>
    <w:rsid w:val="00ED703B"/>
    <w:rsid w:val="00EE2528"/>
    <w:rsid w:val="00EE54EF"/>
    <w:rsid w:val="00EE6733"/>
    <w:rsid w:val="00EF0F9B"/>
    <w:rsid w:val="00EF1F4E"/>
    <w:rsid w:val="00EF5671"/>
    <w:rsid w:val="00EF604E"/>
    <w:rsid w:val="00EF61D8"/>
    <w:rsid w:val="00EF64EB"/>
    <w:rsid w:val="00EF6944"/>
    <w:rsid w:val="00F0077C"/>
    <w:rsid w:val="00F026C1"/>
    <w:rsid w:val="00F02E46"/>
    <w:rsid w:val="00F0311C"/>
    <w:rsid w:val="00F03516"/>
    <w:rsid w:val="00F12172"/>
    <w:rsid w:val="00F1244D"/>
    <w:rsid w:val="00F16739"/>
    <w:rsid w:val="00F16AC4"/>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085"/>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2576"/>
    <w:rsid w:val="00FA6B83"/>
    <w:rsid w:val="00FB37DA"/>
    <w:rsid w:val="00FB394E"/>
    <w:rsid w:val="00FB46E4"/>
    <w:rsid w:val="00FB4AB8"/>
    <w:rsid w:val="00FB723D"/>
    <w:rsid w:val="00FC36BC"/>
    <w:rsid w:val="00FC5347"/>
    <w:rsid w:val="00FC5A2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5EB6"/>
    <w:rsid w:val="00FE7B4A"/>
    <w:rsid w:val="00FE7B50"/>
    <w:rsid w:val="00FF15AB"/>
    <w:rsid w:val="00FF1D6C"/>
    <w:rsid w:val="00FF20FC"/>
    <w:rsid w:val="00FF2685"/>
    <w:rsid w:val="00FF3412"/>
    <w:rsid w:val="00FF5017"/>
    <w:rsid w:val="00FF5264"/>
    <w:rsid w:val="00FF56C0"/>
    <w:rsid w:val="00FF57A6"/>
    <w:rsid w:val="00FF60C8"/>
    <w:rsid w:val="0BD52346"/>
    <w:rsid w:val="163A2906"/>
    <w:rsid w:val="271617E1"/>
    <w:rsid w:val="29341F1A"/>
    <w:rsid w:val="2C7C2F04"/>
    <w:rsid w:val="424615C1"/>
    <w:rsid w:val="45656A0F"/>
    <w:rsid w:val="4B0D3CF6"/>
    <w:rsid w:val="51074894"/>
    <w:rsid w:val="542A2224"/>
    <w:rsid w:val="637A512A"/>
    <w:rsid w:val="692234CE"/>
    <w:rsid w:val="6AE06DB7"/>
    <w:rsid w:val="6E3F020D"/>
    <w:rsid w:val="6F7E32CC"/>
    <w:rsid w:val="765F4B1B"/>
    <w:rsid w:val="7A1712DC"/>
    <w:rsid w:val="7F5F1503"/>
    <w:rsid w:val="7FBF8F7D"/>
    <w:rsid w:val="9F7F53DC"/>
    <w:rsid w:val="9FDBAE66"/>
    <w:rsid w:val="BBF38411"/>
    <w:rsid w:val="F7FDA066"/>
    <w:rsid w:val="FAAFB210"/>
    <w:rsid w:val="FBBF1E9B"/>
    <w:rsid w:val="FEEB3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semiHidden/>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2"/>
    <w:semiHidden/>
    <w:unhideWhenUsed/>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58"/>
    <w:qFormat/>
    <w:uiPriority w:val="0"/>
    <w:pPr>
      <w:jc w:val="left"/>
    </w:pPr>
    <w:rPr>
      <w:kern w:val="0"/>
      <w:sz w:val="24"/>
      <w:szCs w:val="24"/>
    </w:rPr>
  </w:style>
  <w:style w:type="paragraph" w:styleId="9">
    <w:name w:val="Body Text 3"/>
    <w:basedOn w:val="1"/>
    <w:link w:val="79"/>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71"/>
    <w:qFormat/>
    <w:uiPriority w:val="0"/>
    <w:pPr>
      <w:spacing w:after="120"/>
    </w:pPr>
    <w:rPr>
      <w:rFonts w:eastAsia="Times New Roman"/>
      <w:szCs w:val="24"/>
    </w:rPr>
  </w:style>
  <w:style w:type="paragraph" w:styleId="11">
    <w:name w:val="Body Text Indent"/>
    <w:basedOn w:val="1"/>
    <w:link w:val="44"/>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51"/>
    <w:qFormat/>
    <w:uiPriority w:val="0"/>
    <w:rPr>
      <w:rFonts w:ascii="宋体" w:hAnsi="Courier New" w:cs="Courier New"/>
      <w:szCs w:val="21"/>
    </w:rPr>
  </w:style>
  <w:style w:type="paragraph" w:styleId="14">
    <w:name w:val="Date"/>
    <w:basedOn w:val="1"/>
    <w:next w:val="1"/>
    <w:link w:val="47"/>
    <w:qFormat/>
    <w:uiPriority w:val="0"/>
    <w:rPr>
      <w:rFonts w:ascii="楷体_GB2312" w:eastAsia="楷体_GB2312"/>
      <w:sz w:val="32"/>
    </w:rPr>
  </w:style>
  <w:style w:type="paragraph" w:styleId="15">
    <w:name w:val="Body Text Indent 2"/>
    <w:basedOn w:val="1"/>
    <w:link w:val="74"/>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7"/>
    <w:qFormat/>
    <w:uiPriority w:val="0"/>
    <w:pPr>
      <w:snapToGrid w:val="0"/>
      <w:jc w:val="left"/>
    </w:pPr>
    <w:rPr>
      <w:kern w:val="0"/>
      <w:sz w:val="24"/>
      <w:szCs w:val="24"/>
    </w:rPr>
  </w:style>
  <w:style w:type="paragraph" w:styleId="17">
    <w:name w:val="Balloon Text"/>
    <w:basedOn w:val="1"/>
    <w:link w:val="46"/>
    <w:qFormat/>
    <w:uiPriority w:val="0"/>
    <w:rPr>
      <w:sz w:val="18"/>
      <w:szCs w:val="18"/>
    </w:rPr>
  </w:style>
  <w:style w:type="paragraph" w:styleId="18">
    <w:name w:val="footer"/>
    <w:basedOn w:val="1"/>
    <w:link w:val="43"/>
    <w:qFormat/>
    <w:uiPriority w:val="99"/>
    <w:pPr>
      <w:tabs>
        <w:tab w:val="center" w:pos="4153"/>
        <w:tab w:val="right" w:pos="8306"/>
      </w:tabs>
      <w:snapToGrid w:val="0"/>
      <w:jc w:val="left"/>
    </w:pPr>
    <w:rPr>
      <w:sz w:val="18"/>
      <w:szCs w:val="18"/>
    </w:rPr>
  </w:style>
  <w:style w:type="paragraph" w:styleId="19">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100"/>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84"/>
    <w:qFormat/>
    <w:uiPriority w:val="0"/>
    <w:pPr>
      <w:snapToGrid w:val="0"/>
      <w:jc w:val="left"/>
    </w:pPr>
    <w:rPr>
      <w:rFonts w:eastAsia="Times New Roman"/>
      <w:sz w:val="18"/>
      <w:szCs w:val="18"/>
    </w:rPr>
  </w:style>
  <w:style w:type="paragraph" w:styleId="22">
    <w:name w:val="Body Text Indent 3"/>
    <w:basedOn w:val="1"/>
    <w:link w:val="77"/>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3"/>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101"/>
    <w:qFormat/>
    <w:uiPriority w:val="0"/>
    <w:pPr>
      <w:widowControl/>
      <w:suppressAutoHyphens/>
      <w:overflowPunct w:val="0"/>
      <w:autoSpaceDE w:val="0"/>
      <w:jc w:val="center"/>
    </w:pPr>
    <w:rPr>
      <w:rFonts w:ascii="ClassGarmnd BT" w:hAnsi="ClassGarmnd BT" w:cs="ClassGarmnd BT"/>
      <w:b/>
      <w:kern w:val="1"/>
      <w:sz w:val="32"/>
      <w:lang w:val="en-AU" w:eastAsia="ar-SA"/>
    </w:rPr>
  </w:style>
  <w:style w:type="paragraph" w:styleId="26">
    <w:name w:val="annotation subject"/>
    <w:basedOn w:val="8"/>
    <w:next w:val="8"/>
    <w:link w:val="86"/>
    <w:qFormat/>
    <w:uiPriority w:val="0"/>
    <w:rPr>
      <w:b/>
      <w:bCs/>
      <w:kern w:val="2"/>
      <w:sz w:val="21"/>
    </w:rPr>
  </w:style>
  <w:style w:type="table" w:styleId="28">
    <w:name w:val="Table Grid"/>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qFormat/>
    <w:uiPriority w:val="0"/>
    <w:rPr>
      <w:rFonts w:cs="Times New Roman"/>
      <w:vertAlign w:val="superscript"/>
    </w:rPr>
  </w:style>
  <w:style w:type="character" w:styleId="32">
    <w:name w:val="page number"/>
    <w:basedOn w:val="29"/>
    <w:qFormat/>
    <w:uiPriority w:val="0"/>
  </w:style>
  <w:style w:type="character" w:styleId="33">
    <w:name w:val="FollowedHyperlink"/>
    <w:qFormat/>
    <w:uiPriority w:val="99"/>
    <w:rPr>
      <w:color w:val="800080"/>
      <w:u w:val="single"/>
    </w:rPr>
  </w:style>
  <w:style w:type="character" w:styleId="34">
    <w:name w:val="Hyperlink"/>
    <w:qFormat/>
    <w:uiPriority w:val="99"/>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unhideWhenUsed/>
    <w:qFormat/>
    <w:uiPriority w:val="0"/>
    <w:rPr>
      <w:vertAlign w:val="superscript"/>
    </w:rPr>
  </w:style>
  <w:style w:type="character" w:customStyle="1" w:styleId="37">
    <w:name w:val="标题 1 字符1"/>
    <w:link w:val="2"/>
    <w:qFormat/>
    <w:locked/>
    <w:uiPriority w:val="0"/>
    <w:rPr>
      <w:rFonts w:eastAsia="宋体"/>
      <w:b/>
      <w:bCs/>
      <w:kern w:val="44"/>
      <w:sz w:val="44"/>
      <w:szCs w:val="44"/>
      <w:lang w:bidi="ar-SA"/>
    </w:rPr>
  </w:style>
  <w:style w:type="character" w:customStyle="1" w:styleId="38">
    <w:name w:val="标题 2 字符1"/>
    <w:link w:val="3"/>
    <w:qFormat/>
    <w:locked/>
    <w:uiPriority w:val="0"/>
    <w:rPr>
      <w:rFonts w:ascii="Arial" w:hAnsi="Arial" w:eastAsia="黑体"/>
      <w:b/>
      <w:bCs/>
      <w:sz w:val="32"/>
      <w:szCs w:val="32"/>
      <w:lang w:bidi="ar-SA"/>
    </w:rPr>
  </w:style>
  <w:style w:type="character" w:customStyle="1" w:styleId="39">
    <w:name w:val="标题 3 字符1"/>
    <w:link w:val="4"/>
    <w:semiHidden/>
    <w:qFormat/>
    <w:locked/>
    <w:uiPriority w:val="0"/>
    <w:rPr>
      <w:rFonts w:eastAsia="宋体"/>
      <w:b/>
      <w:bCs/>
      <w:sz w:val="32"/>
      <w:szCs w:val="32"/>
      <w:lang w:bidi="ar-SA"/>
    </w:rPr>
  </w:style>
  <w:style w:type="character" w:customStyle="1" w:styleId="40">
    <w:name w:val="标题 4 字符1"/>
    <w:link w:val="5"/>
    <w:semiHidden/>
    <w:qFormat/>
    <w:uiPriority w:val="0"/>
    <w:rPr>
      <w:rFonts w:ascii="Cambria" w:hAnsi="Cambria" w:eastAsia="宋体" w:cs="Times New Roman"/>
      <w:b/>
      <w:bCs/>
      <w:kern w:val="2"/>
      <w:sz w:val="28"/>
      <w:szCs w:val="28"/>
    </w:rPr>
  </w:style>
  <w:style w:type="character" w:customStyle="1" w:styleId="41">
    <w:name w:val="标题 5 字符"/>
    <w:link w:val="6"/>
    <w:semiHidden/>
    <w:qFormat/>
    <w:uiPriority w:val="0"/>
    <w:rPr>
      <w:b/>
      <w:bCs/>
      <w:kern w:val="2"/>
      <w:sz w:val="28"/>
      <w:szCs w:val="28"/>
    </w:rPr>
  </w:style>
  <w:style w:type="character" w:customStyle="1" w:styleId="42">
    <w:name w:val="标题 6 字符1"/>
    <w:link w:val="7"/>
    <w:semiHidden/>
    <w:qFormat/>
    <w:uiPriority w:val="0"/>
    <w:rPr>
      <w:rFonts w:ascii="Arial" w:hAnsi="Arial" w:eastAsia="黑体"/>
      <w:b/>
      <w:bCs/>
      <w:kern w:val="2"/>
      <w:sz w:val="24"/>
      <w:szCs w:val="24"/>
    </w:rPr>
  </w:style>
  <w:style w:type="character" w:customStyle="1" w:styleId="43">
    <w:name w:val="页脚 字符1"/>
    <w:link w:val="18"/>
    <w:qFormat/>
    <w:locked/>
    <w:uiPriority w:val="99"/>
    <w:rPr>
      <w:rFonts w:eastAsia="宋体"/>
      <w:kern w:val="2"/>
      <w:sz w:val="18"/>
      <w:szCs w:val="18"/>
      <w:lang w:val="en-US" w:eastAsia="zh-CN" w:bidi="ar-SA"/>
    </w:rPr>
  </w:style>
  <w:style w:type="character" w:customStyle="1" w:styleId="44">
    <w:name w:val="正文文本缩进 字符1"/>
    <w:link w:val="11"/>
    <w:qFormat/>
    <w:uiPriority w:val="0"/>
    <w:rPr>
      <w:rFonts w:ascii="仿宋_GB2312" w:eastAsia="仿宋_GB2312"/>
      <w:kern w:val="2"/>
      <w:sz w:val="30"/>
      <w:szCs w:val="24"/>
      <w:lang w:val="en-US" w:eastAsia="zh-CN" w:bidi="ar-SA"/>
    </w:rPr>
  </w:style>
  <w:style w:type="character" w:customStyle="1" w:styleId="45">
    <w:name w:val="页眉 字符1"/>
    <w:link w:val="19"/>
    <w:qFormat/>
    <w:locked/>
    <w:uiPriority w:val="0"/>
    <w:rPr>
      <w:rFonts w:eastAsia="宋体"/>
      <w:kern w:val="2"/>
      <w:sz w:val="18"/>
      <w:szCs w:val="18"/>
      <w:lang w:val="en-US" w:eastAsia="zh-CN" w:bidi="ar-SA"/>
    </w:rPr>
  </w:style>
  <w:style w:type="character" w:customStyle="1" w:styleId="46">
    <w:name w:val="批注框文本 字符1"/>
    <w:link w:val="17"/>
    <w:qFormat/>
    <w:locked/>
    <w:uiPriority w:val="0"/>
    <w:rPr>
      <w:rFonts w:eastAsia="宋体"/>
      <w:kern w:val="2"/>
      <w:sz w:val="18"/>
      <w:szCs w:val="18"/>
      <w:lang w:val="en-US" w:eastAsia="zh-CN" w:bidi="ar-SA"/>
    </w:rPr>
  </w:style>
  <w:style w:type="character" w:customStyle="1" w:styleId="47">
    <w:name w:val="日期 字符1"/>
    <w:link w:val="14"/>
    <w:qFormat/>
    <w:uiPriority w:val="0"/>
    <w:rPr>
      <w:rFonts w:ascii="楷体_GB2312" w:eastAsia="楷体_GB2312"/>
      <w:kern w:val="2"/>
      <w:sz w:val="32"/>
      <w:lang w:val="en-US" w:eastAsia="zh-CN" w:bidi="ar-SA"/>
    </w:rPr>
  </w:style>
  <w:style w:type="paragraph" w:customStyle="1" w:styleId="48">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9">
    <w:name w:val="dash6b63_6587__char"/>
    <w:basedOn w:val="29"/>
    <w:qFormat/>
    <w:uiPriority w:val="0"/>
  </w:style>
  <w:style w:type="character" w:customStyle="1" w:styleId="50">
    <w:name w:val="dash6b63_005f6587_005f_005fchar__char"/>
    <w:basedOn w:val="29"/>
    <w:qFormat/>
    <w:uiPriority w:val="0"/>
  </w:style>
  <w:style w:type="character" w:customStyle="1" w:styleId="51">
    <w:name w:val="纯文本 字符1"/>
    <w:link w:val="13"/>
    <w:qFormat/>
    <w:uiPriority w:val="0"/>
    <w:rPr>
      <w:rFonts w:ascii="宋体" w:hAnsi="Courier New" w:eastAsia="宋体" w:cs="Courier New"/>
      <w:kern w:val="2"/>
      <w:sz w:val="21"/>
      <w:szCs w:val="21"/>
      <w:lang w:val="en-US" w:eastAsia="zh-CN" w:bidi="ar-SA"/>
    </w:rPr>
  </w:style>
  <w:style w:type="paragraph" w:customStyle="1" w:styleId="52">
    <w:name w:val="p0"/>
    <w:basedOn w:val="1"/>
    <w:qFormat/>
    <w:uiPriority w:val="0"/>
    <w:pPr>
      <w:widowControl/>
    </w:pPr>
    <w:rPr>
      <w:kern w:val="0"/>
      <w:szCs w:val="21"/>
    </w:rPr>
  </w:style>
  <w:style w:type="character" w:customStyle="1" w:styleId="53">
    <w:name w:val="正文文本 2 字符1"/>
    <w:link w:val="23"/>
    <w:qFormat/>
    <w:locked/>
    <w:uiPriority w:val="0"/>
    <w:rPr>
      <w:rFonts w:ascii="宋体" w:hAnsi="Courier New" w:eastAsia="宋体"/>
      <w:sz w:val="21"/>
      <w:szCs w:val="21"/>
      <w:lang w:bidi="ar-SA"/>
    </w:rPr>
  </w:style>
  <w:style w:type="paragraph" w:styleId="54">
    <w:name w:val="List Paragraph"/>
    <w:basedOn w:val="1"/>
    <w:link w:val="55"/>
    <w:qFormat/>
    <w:uiPriority w:val="34"/>
    <w:pPr>
      <w:ind w:firstLine="420" w:firstLineChars="200"/>
    </w:pPr>
    <w:rPr>
      <w:szCs w:val="24"/>
    </w:rPr>
  </w:style>
  <w:style w:type="character" w:customStyle="1" w:styleId="55">
    <w:name w:val="列表段落 字符"/>
    <w:link w:val="54"/>
    <w:qFormat/>
    <w:uiPriority w:val="34"/>
    <w:rPr>
      <w:kern w:val="2"/>
      <w:sz w:val="21"/>
      <w:szCs w:val="24"/>
    </w:rPr>
  </w:style>
  <w:style w:type="paragraph" w:customStyle="1" w:styleId="56">
    <w:name w:val="列出段落1"/>
    <w:basedOn w:val="1"/>
    <w:qFormat/>
    <w:uiPriority w:val="0"/>
    <w:pPr>
      <w:ind w:firstLine="420" w:firstLineChars="200"/>
    </w:pPr>
    <w:rPr>
      <w:rFonts w:ascii="Calibri" w:hAnsi="Calibri"/>
      <w:szCs w:val="22"/>
    </w:rPr>
  </w:style>
  <w:style w:type="character" w:customStyle="1" w:styleId="57">
    <w:name w:val="尾注文本 字符1"/>
    <w:link w:val="16"/>
    <w:qFormat/>
    <w:locked/>
    <w:uiPriority w:val="0"/>
    <w:rPr>
      <w:rFonts w:eastAsia="宋体"/>
      <w:sz w:val="24"/>
      <w:szCs w:val="24"/>
      <w:lang w:bidi="ar-SA"/>
    </w:rPr>
  </w:style>
  <w:style w:type="character" w:customStyle="1" w:styleId="58">
    <w:name w:val="批注文字 字符1"/>
    <w:link w:val="8"/>
    <w:qFormat/>
    <w:locked/>
    <w:uiPriority w:val="0"/>
    <w:rPr>
      <w:rFonts w:eastAsia="宋体"/>
      <w:sz w:val="24"/>
      <w:szCs w:val="24"/>
      <w:lang w:bidi="ar-SA"/>
    </w:rPr>
  </w:style>
  <w:style w:type="paragraph" w:customStyle="1" w:styleId="59">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0">
    <w:name w:val="List Paragraph11"/>
    <w:basedOn w:val="1"/>
    <w:qFormat/>
    <w:uiPriority w:val="0"/>
    <w:pPr>
      <w:ind w:firstLine="420" w:firstLineChars="200"/>
    </w:pPr>
    <w:rPr>
      <w:rFonts w:ascii="Calibri" w:hAnsi="Calibri"/>
      <w:szCs w:val="22"/>
    </w:rPr>
  </w:style>
  <w:style w:type="paragraph" w:customStyle="1" w:styleId="61">
    <w:name w:val="内页正文"/>
    <w:link w:val="62"/>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62">
    <w:name w:val="内页正文 Char"/>
    <w:link w:val="61"/>
    <w:qFormat/>
    <w:uiPriority w:val="0"/>
    <w:rPr>
      <w:rFonts w:ascii="Arial" w:hAnsi="Arial" w:eastAsia="汉仪中等线简"/>
      <w:color w:val="000000"/>
      <w:sz w:val="18"/>
      <w:szCs w:val="18"/>
      <w:lang w:bidi="ar-SA"/>
    </w:rPr>
  </w:style>
  <w:style w:type="paragraph" w:customStyle="1" w:styleId="6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Char Char15"/>
    <w:qFormat/>
    <w:uiPriority w:val="0"/>
    <w:rPr>
      <w:rFonts w:eastAsia="宋体"/>
      <w:b/>
      <w:bCs/>
      <w:kern w:val="44"/>
      <w:sz w:val="44"/>
      <w:szCs w:val="44"/>
      <w:lang w:val="en-US" w:eastAsia="zh-CN" w:bidi="ar-SA"/>
    </w:rPr>
  </w:style>
  <w:style w:type="character" w:customStyle="1" w:styleId="66">
    <w:name w:val="Char Char14"/>
    <w:qFormat/>
    <w:uiPriority w:val="0"/>
    <w:rPr>
      <w:rFonts w:eastAsia="宋体"/>
      <w:b/>
      <w:bCs/>
      <w:kern w:val="2"/>
      <w:sz w:val="32"/>
      <w:szCs w:val="32"/>
      <w:lang w:val="en-US" w:eastAsia="zh-CN" w:bidi="ar-SA"/>
    </w:rPr>
  </w:style>
  <w:style w:type="character" w:customStyle="1" w:styleId="67">
    <w:name w:val="Char Char13"/>
    <w:qFormat/>
    <w:uiPriority w:val="0"/>
    <w:rPr>
      <w:rFonts w:eastAsia="宋体"/>
      <w:kern w:val="2"/>
      <w:sz w:val="18"/>
      <w:szCs w:val="18"/>
      <w:lang w:val="en-US" w:eastAsia="zh-CN" w:bidi="ar-SA"/>
    </w:rPr>
  </w:style>
  <w:style w:type="character" w:customStyle="1" w:styleId="68">
    <w:name w:val="Char Char12"/>
    <w:qFormat/>
    <w:uiPriority w:val="0"/>
    <w:rPr>
      <w:rFonts w:eastAsia="宋体"/>
      <w:kern w:val="2"/>
      <w:sz w:val="18"/>
      <w:szCs w:val="18"/>
      <w:lang w:val="en-US" w:eastAsia="zh-CN" w:bidi="ar-SA"/>
    </w:rPr>
  </w:style>
  <w:style w:type="character" w:customStyle="1" w:styleId="69">
    <w:name w:val="正文文本缩进 Char1"/>
    <w:qFormat/>
    <w:uiPriority w:val="0"/>
    <w:rPr>
      <w:kern w:val="2"/>
      <w:sz w:val="21"/>
      <w:szCs w:val="24"/>
    </w:rPr>
  </w:style>
  <w:style w:type="character" w:customStyle="1" w:styleId="70">
    <w:name w:val="日期 Char1"/>
    <w:qFormat/>
    <w:uiPriority w:val="0"/>
    <w:rPr>
      <w:kern w:val="2"/>
      <w:sz w:val="21"/>
      <w:szCs w:val="24"/>
    </w:rPr>
  </w:style>
  <w:style w:type="character" w:customStyle="1" w:styleId="71">
    <w:name w:val="正文文本 字符1"/>
    <w:link w:val="10"/>
    <w:qFormat/>
    <w:uiPriority w:val="0"/>
    <w:rPr>
      <w:rFonts w:eastAsia="Times New Roman"/>
      <w:kern w:val="2"/>
      <w:sz w:val="21"/>
      <w:szCs w:val="24"/>
    </w:rPr>
  </w:style>
  <w:style w:type="character" w:customStyle="1" w:styleId="72">
    <w:name w:val="正文文本 Char1"/>
    <w:qFormat/>
    <w:uiPriority w:val="0"/>
    <w:rPr>
      <w:kern w:val="2"/>
      <w:sz w:val="21"/>
      <w:szCs w:val="24"/>
    </w:rPr>
  </w:style>
  <w:style w:type="character" w:customStyle="1" w:styleId="73">
    <w:name w:val="批注框文本 Char1"/>
    <w:qFormat/>
    <w:uiPriority w:val="0"/>
    <w:rPr>
      <w:kern w:val="2"/>
      <w:sz w:val="18"/>
      <w:szCs w:val="18"/>
    </w:rPr>
  </w:style>
  <w:style w:type="character" w:customStyle="1" w:styleId="74">
    <w:name w:val="正文文本缩进 2 字符1"/>
    <w:link w:val="15"/>
    <w:qFormat/>
    <w:uiPriority w:val="0"/>
    <w:rPr>
      <w:rFonts w:ascii="仿宋_GB2312" w:hAnsi="宋体" w:eastAsia="仿宋_GB2312"/>
      <w:kern w:val="2"/>
      <w:sz w:val="30"/>
      <w:szCs w:val="30"/>
    </w:rPr>
  </w:style>
  <w:style w:type="character" w:customStyle="1" w:styleId="75">
    <w:name w:val="正文文本缩进 2 Char1"/>
    <w:qFormat/>
    <w:uiPriority w:val="0"/>
    <w:rPr>
      <w:kern w:val="2"/>
      <w:sz w:val="21"/>
      <w:szCs w:val="24"/>
    </w:rPr>
  </w:style>
  <w:style w:type="character" w:customStyle="1" w:styleId="76">
    <w:name w:val="正文文本 2 Char1"/>
    <w:qFormat/>
    <w:uiPriority w:val="0"/>
    <w:rPr>
      <w:kern w:val="2"/>
      <w:sz w:val="21"/>
      <w:szCs w:val="24"/>
    </w:rPr>
  </w:style>
  <w:style w:type="character" w:customStyle="1" w:styleId="77">
    <w:name w:val="正文文本缩进 3 字符1"/>
    <w:link w:val="22"/>
    <w:qFormat/>
    <w:uiPriority w:val="0"/>
    <w:rPr>
      <w:rFonts w:ascii="仿宋_GB2312" w:eastAsia="仿宋_GB2312"/>
      <w:sz w:val="30"/>
      <w:szCs w:val="28"/>
      <w:lang w:val="zh-CN"/>
    </w:rPr>
  </w:style>
  <w:style w:type="character" w:customStyle="1" w:styleId="78">
    <w:name w:val="正文文本缩进 3 Char1"/>
    <w:qFormat/>
    <w:uiPriority w:val="0"/>
    <w:rPr>
      <w:kern w:val="2"/>
      <w:sz w:val="16"/>
      <w:szCs w:val="16"/>
    </w:rPr>
  </w:style>
  <w:style w:type="character" w:customStyle="1" w:styleId="79">
    <w:name w:val="正文文本 3 字符1"/>
    <w:link w:val="9"/>
    <w:qFormat/>
    <w:uiPriority w:val="0"/>
    <w:rPr>
      <w:rFonts w:ascii="方正大标宋简体" w:hAnsi="宋体" w:eastAsia="方正大标宋简体"/>
      <w:bCs/>
      <w:kern w:val="2"/>
      <w:sz w:val="42"/>
      <w:szCs w:val="42"/>
    </w:rPr>
  </w:style>
  <w:style w:type="character" w:customStyle="1" w:styleId="80">
    <w:name w:val="正文文本 3 Char1"/>
    <w:qFormat/>
    <w:uiPriority w:val="0"/>
    <w:rPr>
      <w:kern w:val="2"/>
      <w:sz w:val="16"/>
      <w:szCs w:val="16"/>
    </w:rPr>
  </w:style>
  <w:style w:type="character" w:customStyle="1" w:styleId="81">
    <w:name w:val="纯文本 Char1"/>
    <w:qFormat/>
    <w:uiPriority w:val="0"/>
    <w:rPr>
      <w:rFonts w:ascii="宋体" w:hAnsi="Courier New" w:cs="Courier New"/>
      <w:kern w:val="2"/>
      <w:sz w:val="21"/>
      <w:szCs w:val="21"/>
    </w:rPr>
  </w:style>
  <w:style w:type="character" w:customStyle="1" w:styleId="82">
    <w:name w:val="条款 Char"/>
    <w:link w:val="83"/>
    <w:qFormat/>
    <w:uiPriority w:val="0"/>
    <w:rPr>
      <w:rFonts w:ascii="仿宋_GB2312" w:hAnsi="Calibri" w:eastAsia="仿宋_GB2312"/>
      <w:color w:val="000000"/>
      <w:sz w:val="28"/>
      <w:lang w:bidi="ar-SA"/>
    </w:rPr>
  </w:style>
  <w:style w:type="paragraph" w:customStyle="1" w:styleId="83">
    <w:name w:val="条款"/>
    <w:basedOn w:val="1"/>
    <w:link w:val="82"/>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4">
    <w:name w:val="脚注文本 字符1"/>
    <w:link w:val="21"/>
    <w:qFormat/>
    <w:uiPriority w:val="0"/>
    <w:rPr>
      <w:rFonts w:eastAsia="Times New Roman"/>
      <w:kern w:val="2"/>
      <w:sz w:val="18"/>
      <w:szCs w:val="18"/>
    </w:rPr>
  </w:style>
  <w:style w:type="character" w:customStyle="1" w:styleId="85">
    <w:name w:val="脚注文本 Char1"/>
    <w:qFormat/>
    <w:uiPriority w:val="0"/>
    <w:rPr>
      <w:kern w:val="2"/>
      <w:sz w:val="18"/>
      <w:szCs w:val="18"/>
    </w:rPr>
  </w:style>
  <w:style w:type="character" w:customStyle="1" w:styleId="86">
    <w:name w:val="批注主题 字符1"/>
    <w:link w:val="26"/>
    <w:qFormat/>
    <w:uiPriority w:val="0"/>
    <w:rPr>
      <w:rFonts w:eastAsia="宋体"/>
      <w:b/>
      <w:bCs/>
      <w:kern w:val="2"/>
      <w:sz w:val="21"/>
      <w:szCs w:val="24"/>
      <w:lang w:bidi="ar-SA"/>
    </w:rPr>
  </w:style>
  <w:style w:type="paragraph" w:customStyle="1" w:styleId="87">
    <w:name w:val="Char3"/>
    <w:basedOn w:val="1"/>
    <w:qFormat/>
    <w:uiPriority w:val="0"/>
    <w:rPr>
      <w:szCs w:val="21"/>
    </w:rPr>
  </w:style>
  <w:style w:type="paragraph" w:customStyle="1" w:styleId="88">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89">
    <w:name w:val="样式1"/>
    <w:basedOn w:val="1"/>
    <w:link w:val="90"/>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0">
    <w:name w:val="样式1 Char"/>
    <w:link w:val="89"/>
    <w:qFormat/>
    <w:locked/>
    <w:uiPriority w:val="0"/>
    <w:rPr>
      <w:rFonts w:ascii="仿宋_GB2312" w:hAnsi="宋体" w:eastAsia="仿宋_GB2312"/>
      <w:sz w:val="30"/>
      <w:szCs w:val="30"/>
    </w:rPr>
  </w:style>
  <w:style w:type="paragraph" w:customStyle="1" w:styleId="91">
    <w:name w:val="SSE正文"/>
    <w:basedOn w:val="1"/>
    <w:link w:val="92"/>
    <w:qFormat/>
    <w:uiPriority w:val="0"/>
    <w:pPr>
      <w:ind w:firstLine="200" w:firstLineChars="200"/>
    </w:pPr>
    <w:rPr>
      <w:rFonts w:eastAsia="仿宋_GB2312"/>
      <w:sz w:val="28"/>
      <w:szCs w:val="28"/>
    </w:rPr>
  </w:style>
  <w:style w:type="character" w:customStyle="1" w:styleId="92">
    <w:name w:val="SSE正文 Char"/>
    <w:link w:val="91"/>
    <w:qFormat/>
    <w:uiPriority w:val="0"/>
    <w:rPr>
      <w:rFonts w:eastAsia="仿宋_GB2312"/>
      <w:kern w:val="2"/>
      <w:sz w:val="28"/>
      <w:szCs w:val="28"/>
    </w:rPr>
  </w:style>
  <w:style w:type="paragraph" w:customStyle="1" w:styleId="93">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4">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5">
    <w:name w:val="SSE标题1"/>
    <w:basedOn w:val="2"/>
    <w:link w:val="96"/>
    <w:qFormat/>
    <w:uiPriority w:val="0"/>
    <w:pPr>
      <w:spacing w:before="0" w:after="120" w:line="240" w:lineRule="auto"/>
      <w:ind w:left="1232" w:hanging="630"/>
    </w:pPr>
    <w:rPr>
      <w:rFonts w:eastAsia="黑体"/>
      <w:sz w:val="30"/>
      <w:szCs w:val="30"/>
    </w:rPr>
  </w:style>
  <w:style w:type="character" w:customStyle="1" w:styleId="96">
    <w:name w:val="SSE标题1 Char"/>
    <w:link w:val="95"/>
    <w:qFormat/>
    <w:uiPriority w:val="0"/>
    <w:rPr>
      <w:rFonts w:eastAsia="黑体"/>
      <w:b/>
      <w:bCs/>
      <w:kern w:val="44"/>
      <w:sz w:val="30"/>
      <w:szCs w:val="30"/>
    </w:rPr>
  </w:style>
  <w:style w:type="paragraph" w:customStyle="1" w:styleId="97">
    <w:name w:val="SSE标题0"/>
    <w:basedOn w:val="1"/>
    <w:link w:val="98"/>
    <w:qFormat/>
    <w:uiPriority w:val="0"/>
    <w:pPr>
      <w:spacing w:before="100" w:beforeAutospacing="1" w:after="100" w:afterAutospacing="1"/>
      <w:jc w:val="center"/>
    </w:pPr>
    <w:rPr>
      <w:rFonts w:eastAsia="华文中宋"/>
      <w:b/>
      <w:sz w:val="44"/>
      <w:szCs w:val="44"/>
    </w:rPr>
  </w:style>
  <w:style w:type="character" w:customStyle="1" w:styleId="98">
    <w:name w:val="SSE标题0 Char"/>
    <w:link w:val="97"/>
    <w:qFormat/>
    <w:uiPriority w:val="0"/>
    <w:rPr>
      <w:rFonts w:eastAsia="华文中宋"/>
      <w:b/>
      <w:kern w:val="2"/>
      <w:sz w:val="44"/>
      <w:szCs w:val="44"/>
    </w:rPr>
  </w:style>
  <w:style w:type="paragraph" w:customStyle="1" w:styleId="99">
    <w:name w:val="Стандартный HTML"/>
    <w:basedOn w:val="1"/>
    <w:qFormat/>
    <w:uiPriority w:val="0"/>
    <w:pPr>
      <w:widowControl/>
      <w:suppressAutoHyphens/>
      <w:jc w:val="left"/>
    </w:pPr>
    <w:rPr>
      <w:rFonts w:ascii="Courier New" w:hAnsi="Courier New" w:cs="Courier New"/>
      <w:kern w:val="1"/>
      <w:sz w:val="20"/>
      <w:lang w:eastAsia="ar-SA"/>
    </w:rPr>
  </w:style>
  <w:style w:type="character" w:customStyle="1" w:styleId="100">
    <w:name w:val="副标题 字符"/>
    <w:link w:val="20"/>
    <w:qFormat/>
    <w:uiPriority w:val="0"/>
    <w:rPr>
      <w:rFonts w:ascii="Cambria" w:hAnsi="Cambria" w:cs="Times New Roman"/>
      <w:b/>
      <w:bCs/>
      <w:kern w:val="28"/>
      <w:sz w:val="32"/>
      <w:szCs w:val="32"/>
    </w:rPr>
  </w:style>
  <w:style w:type="character" w:customStyle="1" w:styleId="101">
    <w:name w:val="标题 字符1"/>
    <w:link w:val="25"/>
    <w:qFormat/>
    <w:uiPriority w:val="0"/>
    <w:rPr>
      <w:rFonts w:ascii="ClassGarmnd BT" w:hAnsi="ClassGarmnd BT" w:eastAsia="宋体" w:cs="ClassGarmnd BT"/>
      <w:b/>
      <w:kern w:val="1"/>
      <w:sz w:val="32"/>
      <w:lang w:val="en-AU" w:eastAsia="ar-SA"/>
    </w:rPr>
  </w:style>
  <w:style w:type="paragraph" w:customStyle="1" w:styleId="102">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3">
    <w:name w:val="List Paragraph1"/>
    <w:basedOn w:val="1"/>
    <w:qFormat/>
    <w:uiPriority w:val="0"/>
    <w:pPr>
      <w:suppressAutoHyphens/>
      <w:ind w:left="720"/>
    </w:pPr>
    <w:rPr>
      <w:kern w:val="1"/>
      <w:sz w:val="32"/>
      <w:szCs w:val="24"/>
      <w:lang w:eastAsia="ar-SA"/>
    </w:rPr>
  </w:style>
  <w:style w:type="paragraph" w:customStyle="1" w:styleId="104">
    <w:name w:val="Style1"/>
    <w:basedOn w:val="1"/>
    <w:qFormat/>
    <w:uiPriority w:val="0"/>
    <w:pPr>
      <w:numPr>
        <w:ilvl w:val="0"/>
        <w:numId w:val="2"/>
      </w:numPr>
      <w:suppressAutoHyphens/>
    </w:pPr>
    <w:rPr>
      <w:kern w:val="1"/>
      <w:szCs w:val="24"/>
      <w:lang w:eastAsia="ar-SA"/>
    </w:rPr>
  </w:style>
  <w:style w:type="character" w:customStyle="1" w:styleId="105">
    <w:name w:val="语句 Char"/>
    <w:link w:val="106"/>
    <w:qFormat/>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qFormat/>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qFormat/>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qFormat/>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qFormat/>
    <w:locked/>
    <w:uiPriority w:val="0"/>
    <w:rPr>
      <w:rFonts w:ascii="仿宋_GB2312" w:eastAsia="仿宋_GB2312"/>
      <w:sz w:val="28"/>
    </w:rPr>
  </w:style>
  <w:style w:type="paragraph" w:customStyle="1" w:styleId="114">
    <w:name w:val="SSE内容提要正文"/>
    <w:basedOn w:val="1"/>
    <w:link w:val="113"/>
    <w:qFormat/>
    <w:uiPriority w:val="0"/>
    <w:pPr>
      <w:ind w:firstLine="560" w:firstLineChars="200"/>
    </w:pPr>
    <w:rPr>
      <w:rFonts w:ascii="仿宋_GB2312" w:eastAsia="仿宋_GB2312"/>
      <w:kern w:val="0"/>
      <w:sz w:val="28"/>
    </w:rPr>
  </w:style>
  <w:style w:type="character" w:customStyle="1" w:styleId="115">
    <w:name w:val="SSE资料来源 Char"/>
    <w:link w:val="116"/>
    <w:qFormat/>
    <w:locked/>
    <w:uiPriority w:val="0"/>
    <w:rPr>
      <w:rFonts w:ascii="仿宋_GB2312" w:eastAsia="仿宋_GB2312"/>
      <w:color w:val="000000"/>
    </w:rPr>
  </w:style>
  <w:style w:type="paragraph" w:customStyle="1" w:styleId="116">
    <w:name w:val="SSE资料来源"/>
    <w:basedOn w:val="1"/>
    <w:link w:val="115"/>
    <w:qFormat/>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qFormat/>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qFormat/>
    <w:locked/>
    <w:uiPriority w:val="0"/>
    <w:rPr>
      <w:rFonts w:ascii="仿宋_GB2312" w:eastAsia="仿宋_GB2312"/>
      <w:color w:val="000000"/>
      <w:sz w:val="24"/>
      <w:szCs w:val="24"/>
    </w:rPr>
  </w:style>
  <w:style w:type="paragraph" w:customStyle="1" w:styleId="120">
    <w:name w:val="SSE表格文字"/>
    <w:basedOn w:val="1"/>
    <w:link w:val="119"/>
    <w:qFormat/>
    <w:uiPriority w:val="0"/>
    <w:pPr>
      <w:widowControl/>
      <w:jc w:val="center"/>
    </w:pPr>
    <w:rPr>
      <w:rFonts w:ascii="仿宋_GB2312" w:eastAsia="仿宋_GB2312"/>
      <w:color w:val="000000"/>
      <w:kern w:val="0"/>
      <w:sz w:val="24"/>
      <w:szCs w:val="24"/>
    </w:rPr>
  </w:style>
  <w:style w:type="character" w:customStyle="1" w:styleId="121">
    <w:name w:val="SSE图表标题 Char"/>
    <w:link w:val="122"/>
    <w:qFormat/>
    <w:locked/>
    <w:uiPriority w:val="0"/>
    <w:rPr>
      <w:rFonts w:ascii="仿宋_GB2312" w:eastAsia="仿宋_GB2312"/>
      <w:b/>
      <w:bCs/>
      <w:color w:val="000000"/>
      <w:sz w:val="24"/>
      <w:szCs w:val="24"/>
    </w:rPr>
  </w:style>
  <w:style w:type="paragraph" w:customStyle="1" w:styleId="122">
    <w:name w:val="SSE图表标题"/>
    <w:basedOn w:val="7"/>
    <w:link w:val="121"/>
    <w:qFormat/>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qFormat/>
    <w:uiPriority w:val="9"/>
    <w:rPr>
      <w:rFonts w:hint="default" w:ascii="Calibri" w:hAnsi="Calibri" w:eastAsia="宋体" w:cs="Times New Roman"/>
      <w:b/>
      <w:bCs/>
      <w:kern w:val="44"/>
      <w:sz w:val="44"/>
      <w:szCs w:val="44"/>
    </w:rPr>
  </w:style>
  <w:style w:type="character" w:customStyle="1" w:styleId="124">
    <w:name w:val="标题 2 字符"/>
    <w:semiHidden/>
    <w:qFormat/>
    <w:uiPriority w:val="9"/>
    <w:rPr>
      <w:rFonts w:hint="default" w:ascii="Cambria" w:hAnsi="Cambria" w:eastAsia="宋体" w:cs="Times New Roman"/>
      <w:b/>
      <w:bCs/>
      <w:sz w:val="32"/>
      <w:szCs w:val="32"/>
    </w:rPr>
  </w:style>
  <w:style w:type="character" w:customStyle="1" w:styleId="125">
    <w:name w:val="标题 3 字符"/>
    <w:semiHidden/>
    <w:qFormat/>
    <w:uiPriority w:val="9"/>
    <w:rPr>
      <w:rFonts w:hint="default" w:ascii="Calibri" w:hAnsi="Calibri" w:eastAsia="宋体" w:cs="Times New Roman"/>
      <w:b/>
      <w:bCs/>
      <w:sz w:val="32"/>
      <w:szCs w:val="32"/>
    </w:rPr>
  </w:style>
  <w:style w:type="character" w:customStyle="1" w:styleId="126">
    <w:name w:val="标题 4 字符"/>
    <w:semiHidden/>
    <w:qFormat/>
    <w:uiPriority w:val="9"/>
    <w:rPr>
      <w:rFonts w:hint="default" w:ascii="Cambria" w:hAnsi="Cambria" w:eastAsia="宋体" w:cs="Times New Roman"/>
      <w:b/>
      <w:bCs/>
      <w:sz w:val="28"/>
      <w:szCs w:val="28"/>
    </w:rPr>
  </w:style>
  <w:style w:type="character" w:customStyle="1" w:styleId="127">
    <w:name w:val="标题 6 字符"/>
    <w:semiHidden/>
    <w:qFormat/>
    <w:uiPriority w:val="9"/>
    <w:rPr>
      <w:rFonts w:hint="default" w:ascii="Cambria" w:hAnsi="Cambria" w:eastAsia="宋体" w:cs="Times New Roman"/>
      <w:b/>
      <w:bCs/>
      <w:sz w:val="24"/>
      <w:szCs w:val="24"/>
    </w:rPr>
  </w:style>
  <w:style w:type="character" w:customStyle="1" w:styleId="128">
    <w:name w:val="页眉 字符"/>
    <w:semiHidden/>
    <w:qFormat/>
    <w:uiPriority w:val="99"/>
    <w:rPr>
      <w:rFonts w:hint="default" w:ascii="Calibri" w:hAnsi="Calibri" w:eastAsia="宋体" w:cs="Times New Roman"/>
      <w:sz w:val="18"/>
      <w:szCs w:val="18"/>
    </w:rPr>
  </w:style>
  <w:style w:type="character" w:customStyle="1" w:styleId="129">
    <w:name w:val="页脚 字符"/>
    <w:qFormat/>
    <w:uiPriority w:val="99"/>
    <w:rPr>
      <w:rFonts w:hint="default" w:ascii="Calibri" w:hAnsi="Calibri" w:eastAsia="宋体" w:cs="Times New Roman"/>
      <w:sz w:val="18"/>
      <w:szCs w:val="18"/>
    </w:rPr>
  </w:style>
  <w:style w:type="character" w:customStyle="1" w:styleId="130">
    <w:name w:val="正文文本缩进 字符"/>
    <w:semiHidden/>
    <w:qFormat/>
    <w:uiPriority w:val="99"/>
    <w:rPr>
      <w:rFonts w:hint="default" w:ascii="Calibri" w:hAnsi="Calibri" w:eastAsia="宋体" w:cs="Times New Roman"/>
    </w:rPr>
  </w:style>
  <w:style w:type="character" w:customStyle="1" w:styleId="131">
    <w:name w:val="批注框文本 字符"/>
    <w:semiHidden/>
    <w:qFormat/>
    <w:uiPriority w:val="99"/>
    <w:rPr>
      <w:rFonts w:hint="default" w:ascii="Calibri" w:hAnsi="Calibri" w:eastAsia="宋体" w:cs="Times New Roman"/>
      <w:sz w:val="18"/>
      <w:szCs w:val="18"/>
    </w:rPr>
  </w:style>
  <w:style w:type="character" w:customStyle="1" w:styleId="132">
    <w:name w:val="日期 字符"/>
    <w:semiHidden/>
    <w:qFormat/>
    <w:uiPriority w:val="99"/>
    <w:rPr>
      <w:rFonts w:hint="default" w:ascii="Calibri" w:hAnsi="Calibri" w:eastAsia="宋体" w:cs="Times New Roman"/>
    </w:rPr>
  </w:style>
  <w:style w:type="character" w:customStyle="1" w:styleId="133">
    <w:name w:val="纯文本 字符"/>
    <w:semiHidden/>
    <w:qFormat/>
    <w:uiPriority w:val="99"/>
    <w:rPr>
      <w:rFonts w:hint="eastAsia" w:ascii="宋体" w:hAnsi="Courier New" w:eastAsia="宋体" w:cs="Courier New"/>
    </w:rPr>
  </w:style>
  <w:style w:type="character" w:customStyle="1" w:styleId="134">
    <w:name w:val="正文文本 2 字符"/>
    <w:semiHidden/>
    <w:qFormat/>
    <w:uiPriority w:val="99"/>
    <w:rPr>
      <w:rFonts w:hint="default" w:ascii="Calibri" w:hAnsi="Calibri" w:eastAsia="宋体" w:cs="Times New Roman"/>
    </w:rPr>
  </w:style>
  <w:style w:type="character" w:customStyle="1" w:styleId="135">
    <w:name w:val="尾注文本 Char1"/>
    <w:qFormat/>
    <w:locked/>
    <w:uiPriority w:val="0"/>
    <w:rPr>
      <w:rFonts w:ascii="Times New Roman" w:hAnsi="Times New Roman" w:eastAsia="宋体" w:cs="Times New Roman"/>
      <w:kern w:val="0"/>
      <w:sz w:val="24"/>
      <w:szCs w:val="24"/>
    </w:rPr>
  </w:style>
  <w:style w:type="character" w:customStyle="1" w:styleId="136">
    <w:name w:val="尾注文本 字符"/>
    <w:semiHidden/>
    <w:qFormat/>
    <w:uiPriority w:val="99"/>
    <w:rPr>
      <w:rFonts w:hint="default" w:ascii="Calibri" w:hAnsi="Calibri" w:eastAsia="宋体" w:cs="Times New Roman"/>
    </w:rPr>
  </w:style>
  <w:style w:type="character" w:customStyle="1" w:styleId="137">
    <w:name w:val="批注文字 Char1"/>
    <w:qFormat/>
    <w:locked/>
    <w:uiPriority w:val="0"/>
    <w:rPr>
      <w:rFonts w:ascii="Times New Roman" w:hAnsi="Times New Roman" w:eastAsia="宋体" w:cs="Times New Roman"/>
      <w:kern w:val="0"/>
      <w:sz w:val="24"/>
      <w:szCs w:val="24"/>
    </w:rPr>
  </w:style>
  <w:style w:type="character" w:customStyle="1" w:styleId="138">
    <w:name w:val="批注文字 字符"/>
    <w:semiHidden/>
    <w:qFormat/>
    <w:uiPriority w:val="99"/>
    <w:rPr>
      <w:rFonts w:hint="default" w:ascii="Calibri" w:hAnsi="Calibri" w:eastAsia="宋体" w:cs="Times New Roman"/>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qFormat/>
    <w:locked/>
    <w:uiPriority w:val="0"/>
    <w:rPr>
      <w:rFonts w:ascii="Times New Roman" w:hAnsi="Times New Roman" w:eastAsia="宋体" w:cs="Times New Roman"/>
      <w:b/>
      <w:bCs/>
      <w:kern w:val="0"/>
      <w:sz w:val="24"/>
      <w:szCs w:val="24"/>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5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paragraph" w:customStyle="1" w:styleId="1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2">
    <w:name w:val="_Style 151"/>
    <w:hidden/>
    <w:semiHidden/>
    <w:qFormat/>
    <w:uiPriority w:val="99"/>
    <w:rPr>
      <w:rFonts w:ascii="Times New Roman" w:hAnsi="Times New Roman" w:eastAsia="宋体" w:cs="Times New Roman"/>
      <w:kern w:val="2"/>
      <w:sz w:val="21"/>
      <w:lang w:val="en-US" w:eastAsia="zh-CN" w:bidi="ar-SA"/>
    </w:rPr>
  </w:style>
  <w:style w:type="paragraph" w:customStyle="1" w:styleId="153">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54">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155">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156">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157">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10509</Words>
  <Characters>10572</Characters>
  <Lines>76</Lines>
  <Paragraphs>21</Paragraphs>
  <TotalTime>13</TotalTime>
  <ScaleCrop>false</ScaleCrop>
  <LinksUpToDate>false</LinksUpToDate>
  <CharactersWithSpaces>10579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2025-12-15T11:16:00Z</dcterms:created>
  <dc:creator>sse</dc:creator>
  <cp:lastModifiedBy>whxu</cp:lastModifiedBy>
  <cp:lastPrinted>2021-01-14T05:53:00Z</cp:lastPrinted>
  <dcterms:modified xsi:type="dcterms:W3CDTF">2026-01-05T01:41:42Z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26EF8178D4CF440CA0AF7FB622DA594B_13</vt:lpwstr>
  </property>
  <property fmtid="{D5CDD505-2E9C-101B-9397-08002B2CF9AE}" pid="4" name="KSOTemplateDocerSaveRecord">
    <vt:lpwstr>eyJoZGlkIjoiMzkyMDA3YjgzOGJiZWQ3MDQzODIyNWZlMDExMGViMDYiLCJ1c2VySWQiOiI0MTAwNTg2ODQifQ==</vt:lpwstr>
  </property>
</Properties>
</file>